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ahoma" w:cs="Tahoma" w:eastAsia="Tahoma" w:hAnsi="Tahoma"/>
          <w:b w:val="1"/>
          <w:bCs w:val="1"/>
          <w:color w:val="036287"/>
          <w:sz w:val="36"/>
          <w:szCs w:val="36"/>
        </w:rPr>
      </w:pPr>
      <w:r w:rsidDel="00000000" w:rsidR="00000000" w:rsidRPr="00000000">
        <w:rPr>
          <w:rFonts w:ascii="Tahoma" w:cs="Tahoma" w:eastAsia="Tahoma" w:hAnsi="Tahoma"/>
          <w:b w:val="1"/>
          <w:bCs w:val="1"/>
          <w:color w:val="036287"/>
          <w:sz w:val="36"/>
          <w:szCs w:val="36"/>
          <w:rtl w:val="0"/>
        </w:rPr>
        <w:t xml:space="preserve">CHECKLIST DES ÉLÉMENTS CLÉS DU PROTOCOLE À DESTINATION DES PORTEURS DE PROJETS</w:t>
      </w:r>
    </w:p>
    <w:p w:rsidR="00000000" w:rsidDel="00000000" w:rsidP="00000000" w:rsidRDefault="00000000" w:rsidRPr="00000000" w14:paraId="00000002">
      <w:pPr>
        <w:jc w:val="center"/>
        <w:rPr>
          <w:rFonts w:ascii="Tahoma" w:cs="Tahoma" w:eastAsia="Tahoma" w:hAnsi="Tahoma"/>
          <w:b w:val="1"/>
          <w:bCs w:val="1"/>
          <w:color w:val="036287"/>
          <w:sz w:val="30"/>
          <w:szCs w:val="30"/>
        </w:rPr>
      </w:pPr>
      <w:r w:rsidDel="00000000" w:rsidR="00000000" w:rsidRPr="00000000">
        <w:rPr>
          <w:rFonts w:ascii="Tahoma" w:cs="Tahoma" w:eastAsia="Tahoma" w:hAnsi="Tahoma"/>
          <w:b w:val="1"/>
          <w:bCs w:val="1"/>
          <w:color w:val="036287"/>
          <w:sz w:val="30"/>
          <w:szCs w:val="30"/>
          <w:rtl w:val="0"/>
        </w:rPr>
        <w:t xml:space="preserve">Checklist obligatoire des 21 éléments clés du protocole scientifique</w:t>
      </w:r>
    </w:p>
    <w:p w:rsidR="00000000" w:rsidDel="00000000" w:rsidP="00000000" w:rsidRDefault="00000000" w:rsidRPr="00000000" w14:paraId="00000003">
      <w:pPr>
        <w:pStyle w:val="Heading1"/>
        <w:rPr>
          <w:rFonts w:ascii="Tahoma" w:cs="Tahoma" w:eastAsia="Tahoma" w:hAnsi="Tahoma"/>
          <w:b w:val="1"/>
          <w:bCs w:val="1"/>
          <w:sz w:val="30"/>
          <w:szCs w:val="30"/>
        </w:rPr>
      </w:pPr>
      <w:bookmarkStart w:colFirst="0" w:colLast="0" w:name="_heading=h.vrrcz3jlqx0h" w:id="0"/>
      <w:bookmarkEnd w:id="0"/>
      <w:r w:rsidDel="00000000" w:rsidR="00000000" w:rsidRPr="00000000">
        <w:rPr>
          <w:rtl w:val="0"/>
        </w:rPr>
      </w:r>
    </w:p>
    <w:p w:rsidR="00000000" w:rsidDel="00000000" w:rsidP="00000000" w:rsidRDefault="00000000" w:rsidRPr="00000000" w14:paraId="00000004">
      <w:pPr>
        <w:pStyle w:val="Heading1"/>
        <w:rPr>
          <w:rFonts w:ascii="Tahoma" w:cs="Tahoma" w:eastAsia="Tahoma" w:hAnsi="Tahoma"/>
          <w:b w:val="1"/>
          <w:bCs w:val="1"/>
          <w:sz w:val="26"/>
          <w:szCs w:val="26"/>
        </w:rPr>
      </w:pPr>
      <w:r w:rsidDel="00000000" w:rsidR="00000000" w:rsidRPr="00000000">
        <w:rPr>
          <w:rFonts w:ascii="Tahoma" w:cs="Tahoma" w:eastAsia="Tahoma" w:hAnsi="Tahoma"/>
          <w:b w:val="1"/>
          <w:bCs w:val="1"/>
          <w:sz w:val="26"/>
          <w:szCs w:val="26"/>
          <w:rtl w:val="0"/>
        </w:rPr>
        <w:t xml:space="preserve">Notice de complétion</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rPr>
          <w:rFonts w:ascii="Tahoma" w:cs="Tahoma" w:eastAsia="Tahoma" w:hAnsi="Tahoma"/>
          <w:b w:val="1"/>
          <w:bCs w:val="1"/>
          <w:color w:val="007fa1"/>
          <w:sz w:val="22"/>
          <w:szCs w:val="22"/>
        </w:rPr>
      </w:pPr>
      <w:r w:rsidDel="00000000" w:rsidR="00000000" w:rsidRPr="00000000">
        <w:rPr>
          <w:rtl w:val="0"/>
        </w:rPr>
      </w:r>
    </w:p>
    <w:p w:rsidR="00000000" w:rsidDel="00000000" w:rsidP="00000000" w:rsidRDefault="00000000" w:rsidRPr="00000000" w14:paraId="00000006">
      <w:pPr>
        <w:numPr>
          <w:ilvl w:val="0"/>
          <w:numId w:val="2"/>
        </w:numPr>
        <w:pBdr>
          <w:top w:space="0" w:sz="0" w:val="nil"/>
          <w:left w:space="0" w:sz="0" w:val="nil"/>
          <w:bottom w:space="0" w:sz="0" w:val="nil"/>
          <w:right w:space="0" w:sz="0" w:val="nil"/>
          <w:between w:space="0" w:sz="0" w:val="nil"/>
        </w:pBdr>
        <w:ind w:left="720" w:hanging="360"/>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Cette checklist doit obligatoirement être complétée par le porteur de projet </w:t>
      </w:r>
    </w:p>
    <w:p w:rsidR="00000000" w:rsidDel="00000000" w:rsidP="00000000" w:rsidRDefault="00000000" w:rsidRPr="00000000" w14:paraId="00000007">
      <w:pPr>
        <w:numPr>
          <w:ilvl w:val="0"/>
          <w:numId w:val="2"/>
        </w:numPr>
        <w:pBdr>
          <w:top w:space="0" w:sz="0" w:val="nil"/>
          <w:left w:space="0" w:sz="0" w:val="nil"/>
          <w:bottom w:space="0" w:sz="0" w:val="nil"/>
          <w:right w:space="0" w:sz="0" w:val="nil"/>
          <w:between w:space="0" w:sz="0" w:val="nil"/>
        </w:pBdr>
        <w:ind w:left="720" w:hanging="360"/>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Elle doit être intégrée dans le dossier avant soumission au CESREES. Pour mémoire, ce dernier doit éga</w:t>
      </w:r>
      <w:r w:rsidDel="00000000" w:rsidR="00000000" w:rsidRPr="00000000">
        <w:rPr>
          <w:rFonts w:ascii="Tahoma" w:cs="Tahoma" w:eastAsia="Tahoma" w:hAnsi="Tahoma"/>
          <w:sz w:val="22"/>
          <w:szCs w:val="22"/>
          <w:rtl w:val="0"/>
        </w:rPr>
        <w:t xml:space="preserve">lement </w:t>
      </w:r>
      <w:r w:rsidDel="00000000" w:rsidR="00000000" w:rsidRPr="00000000">
        <w:rPr>
          <w:rFonts w:ascii="Tahoma" w:cs="Tahoma" w:eastAsia="Tahoma" w:hAnsi="Tahoma"/>
          <w:color w:val="000000"/>
          <w:sz w:val="22"/>
          <w:szCs w:val="22"/>
          <w:rtl w:val="0"/>
        </w:rPr>
        <w:t xml:space="preserve">comporter a minim</w:t>
      </w:r>
      <w:r w:rsidDel="00000000" w:rsidR="00000000" w:rsidRPr="00000000">
        <w:rPr>
          <w:rFonts w:ascii="Tahoma" w:cs="Tahoma" w:eastAsia="Tahoma" w:hAnsi="Tahoma"/>
          <w:sz w:val="22"/>
          <w:szCs w:val="22"/>
          <w:rtl w:val="0"/>
        </w:rPr>
        <w:t xml:space="preserve">a les documents suivants respectant le format des template* :</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ind w:left="1418" w:hanging="284.00000000000006"/>
        <w:rPr>
          <w:rFonts w:ascii="Tahoma" w:cs="Tahoma" w:eastAsia="Tahoma" w:hAnsi="Tahoma"/>
          <w:sz w:val="22"/>
          <w:szCs w:val="22"/>
        </w:rPr>
      </w:pPr>
      <w:sdt>
        <w:sdtPr>
          <w:id w:val="54699782"/>
          <w:tag w:val="goog_rdk_0"/>
        </w:sdtPr>
        <w:sdtContent>
          <w:r w:rsidDel="00000000" w:rsidR="00000000" w:rsidRPr="00000000">
            <w:rPr>
              <w:rFonts w:ascii="Arial Unicode MS" w:cs="Arial Unicode MS" w:eastAsia="Arial Unicode MS" w:hAnsi="Arial Unicode MS"/>
              <w:sz w:val="20"/>
              <w:szCs w:val="20"/>
              <w:rtl w:val="0"/>
            </w:rPr>
            <w:t xml:space="preserve">☐ </w:t>
          </w:r>
        </w:sdtContent>
      </w:sdt>
      <w:r w:rsidDel="00000000" w:rsidR="00000000" w:rsidRPr="00000000">
        <w:rPr>
          <w:rFonts w:ascii="Tahoma" w:cs="Tahoma" w:eastAsia="Tahoma" w:hAnsi="Tahoma"/>
          <w:sz w:val="22"/>
          <w:szCs w:val="22"/>
          <w:rtl w:val="0"/>
        </w:rPr>
        <w:t xml:space="preserve">Le protocole</w:t>
      </w:r>
    </w:p>
    <w:p w:rsidR="00000000" w:rsidDel="00000000" w:rsidP="00000000" w:rsidRDefault="00000000" w:rsidRPr="00000000" w14:paraId="00000009">
      <w:pPr>
        <w:ind w:left="1418" w:hanging="284.00000000000006"/>
        <w:rPr>
          <w:rFonts w:ascii="Tahoma" w:cs="Tahoma" w:eastAsia="Tahoma" w:hAnsi="Tahoma"/>
          <w:sz w:val="22"/>
          <w:szCs w:val="22"/>
        </w:rPr>
      </w:pPr>
      <w:sdt>
        <w:sdtPr>
          <w:id w:val="1313988446"/>
          <w:tag w:val="goog_rdk_1"/>
        </w:sdtPr>
        <w:sdtContent>
          <w:r w:rsidDel="00000000" w:rsidR="00000000" w:rsidRPr="00000000">
            <w:rPr>
              <w:rFonts w:ascii="Arial Unicode MS" w:cs="Arial Unicode MS" w:eastAsia="Arial Unicode MS" w:hAnsi="Arial Unicode MS"/>
              <w:sz w:val="20"/>
              <w:szCs w:val="20"/>
              <w:rtl w:val="0"/>
            </w:rPr>
            <w:t xml:space="preserve">☐ </w:t>
          </w:r>
        </w:sdtContent>
      </w:sdt>
      <w:r w:rsidDel="00000000" w:rsidR="00000000" w:rsidRPr="00000000">
        <w:rPr>
          <w:rFonts w:ascii="Tahoma" w:cs="Tahoma" w:eastAsia="Tahoma" w:hAnsi="Tahoma"/>
          <w:sz w:val="22"/>
          <w:szCs w:val="22"/>
          <w:rtl w:val="0"/>
        </w:rPr>
        <w:t xml:space="preserve">L’EDB en cas de mobilisation des données de la base principale du SNDS (annexe du protocole)</w:t>
      </w:r>
    </w:p>
    <w:p w:rsidR="00000000" w:rsidDel="00000000" w:rsidP="00000000" w:rsidRDefault="00000000" w:rsidRPr="00000000" w14:paraId="0000000A">
      <w:pPr>
        <w:pBdr>
          <w:top w:space="0" w:sz="0" w:val="nil"/>
          <w:left w:space="0" w:sz="0" w:val="nil"/>
          <w:bottom w:space="0" w:sz="0" w:val="nil"/>
          <w:right w:space="0" w:sz="0" w:val="nil"/>
          <w:between w:space="0" w:sz="0" w:val="nil"/>
        </w:pBdr>
        <w:ind w:left="1418" w:hanging="284.00000000000006"/>
        <w:rPr>
          <w:rFonts w:ascii="Tahoma" w:cs="Tahoma" w:eastAsia="Tahoma" w:hAnsi="Tahoma"/>
          <w:sz w:val="22"/>
          <w:szCs w:val="22"/>
        </w:rPr>
      </w:pPr>
      <w:sdt>
        <w:sdtPr>
          <w:id w:val="1232874340"/>
          <w:tag w:val="goog_rdk_2"/>
        </w:sdtPr>
        <w:sdtContent>
          <w:r w:rsidDel="00000000" w:rsidR="00000000" w:rsidRPr="00000000">
            <w:rPr>
              <w:rFonts w:ascii="Arial Unicode MS" w:cs="Arial Unicode MS" w:eastAsia="Arial Unicode MS" w:hAnsi="Arial Unicode MS"/>
              <w:sz w:val="20"/>
              <w:szCs w:val="20"/>
              <w:rtl w:val="0"/>
            </w:rPr>
            <w:t xml:space="preserve">☐ </w:t>
          </w:r>
        </w:sdtContent>
      </w:sdt>
      <w:r w:rsidDel="00000000" w:rsidR="00000000" w:rsidRPr="00000000">
        <w:rPr>
          <w:rFonts w:ascii="Tahoma" w:cs="Tahoma" w:eastAsia="Tahoma" w:hAnsi="Tahoma"/>
          <w:sz w:val="22"/>
          <w:szCs w:val="22"/>
          <w:rtl w:val="0"/>
        </w:rPr>
        <w:t xml:space="preserve">Le résumé</w:t>
      </w:r>
    </w:p>
    <w:p w:rsidR="00000000" w:rsidDel="00000000" w:rsidP="00000000" w:rsidRDefault="00000000" w:rsidRPr="00000000" w14:paraId="0000000B">
      <w:pPr>
        <w:pBdr>
          <w:top w:space="0" w:sz="0" w:val="nil"/>
          <w:left w:space="0" w:sz="0" w:val="nil"/>
          <w:bottom w:space="0" w:sz="0" w:val="nil"/>
          <w:right w:space="0" w:sz="0" w:val="nil"/>
          <w:between w:space="0" w:sz="0" w:val="nil"/>
        </w:pBdr>
        <w:ind w:left="1418" w:hanging="284.00000000000006"/>
        <w:rPr>
          <w:rFonts w:ascii="Tahoma" w:cs="Tahoma" w:eastAsia="Tahoma" w:hAnsi="Tahoma"/>
          <w:sz w:val="22"/>
          <w:szCs w:val="22"/>
        </w:rPr>
      </w:pPr>
      <w:sdt>
        <w:sdtPr>
          <w:id w:val="-1393388517"/>
          <w:tag w:val="goog_rdk_3"/>
        </w:sdtPr>
        <w:sdtContent>
          <w:r w:rsidDel="00000000" w:rsidR="00000000" w:rsidRPr="00000000">
            <w:rPr>
              <w:rFonts w:ascii="Arial Unicode MS" w:cs="Arial Unicode MS" w:eastAsia="Arial Unicode MS" w:hAnsi="Arial Unicode MS"/>
              <w:sz w:val="20"/>
              <w:szCs w:val="20"/>
              <w:rtl w:val="0"/>
            </w:rPr>
            <w:t xml:space="preserve">☐ </w:t>
          </w:r>
        </w:sdtContent>
      </w:sdt>
      <w:r w:rsidDel="00000000" w:rsidR="00000000" w:rsidRPr="00000000">
        <w:rPr>
          <w:rFonts w:ascii="Tahoma" w:cs="Tahoma" w:eastAsia="Tahoma" w:hAnsi="Tahoma"/>
          <w:sz w:val="22"/>
          <w:szCs w:val="22"/>
          <w:rtl w:val="0"/>
        </w:rPr>
        <w:t xml:space="preserve">La ou les déclarations publiques d’intérêt du RT voire du RMO</w:t>
      </w:r>
    </w:p>
    <w:p w:rsidR="00000000" w:rsidDel="00000000" w:rsidP="00000000" w:rsidRDefault="00000000" w:rsidRPr="00000000" w14:paraId="0000000C">
      <w:pPr>
        <w:pBdr>
          <w:top w:space="0" w:sz="0" w:val="nil"/>
          <w:left w:space="0" w:sz="0" w:val="nil"/>
          <w:bottom w:space="0" w:sz="0" w:val="nil"/>
          <w:right w:space="0" w:sz="0" w:val="nil"/>
          <w:between w:space="0" w:sz="0" w:val="nil"/>
        </w:pBdr>
        <w:ind w:left="1418" w:hanging="284.00000000000006"/>
        <w:rPr>
          <w:rFonts w:ascii="Tahoma" w:cs="Tahoma" w:eastAsia="Tahoma" w:hAnsi="Tahoma"/>
          <w:sz w:val="22"/>
          <w:szCs w:val="22"/>
        </w:rPr>
      </w:pPr>
      <w:sdt>
        <w:sdtPr>
          <w:id w:val="-1368020048"/>
          <w:tag w:val="goog_rdk_4"/>
        </w:sdtPr>
        <w:sdtContent>
          <w:r w:rsidDel="00000000" w:rsidR="00000000" w:rsidRPr="00000000">
            <w:rPr>
              <w:rFonts w:ascii="Arial Unicode MS" w:cs="Arial Unicode MS" w:eastAsia="Arial Unicode MS" w:hAnsi="Arial Unicode MS"/>
              <w:sz w:val="20"/>
              <w:szCs w:val="20"/>
              <w:rtl w:val="0"/>
            </w:rPr>
            <w:t xml:space="preserve">☐ </w:t>
          </w:r>
        </w:sdtContent>
      </w:sdt>
      <w:r w:rsidDel="00000000" w:rsidR="00000000" w:rsidRPr="00000000">
        <w:rPr>
          <w:rFonts w:ascii="Tahoma" w:cs="Tahoma" w:eastAsia="Tahoma" w:hAnsi="Tahoma"/>
          <w:sz w:val="22"/>
          <w:szCs w:val="22"/>
          <w:rtl w:val="0"/>
        </w:rPr>
        <w:t xml:space="preserve">La demande d’autorisation</w:t>
      </w:r>
    </w:p>
    <w:p w:rsidR="00000000" w:rsidDel="00000000" w:rsidP="00000000" w:rsidRDefault="00000000" w:rsidRPr="00000000" w14:paraId="0000000D">
      <w:pPr>
        <w:pBdr>
          <w:top w:space="0" w:sz="0" w:val="nil"/>
          <w:left w:space="0" w:sz="0" w:val="nil"/>
          <w:bottom w:space="0" w:sz="0" w:val="nil"/>
          <w:right w:space="0" w:sz="0" w:val="nil"/>
          <w:between w:space="0" w:sz="0" w:val="nil"/>
        </w:pBdr>
        <w:ind w:left="1418" w:hanging="284.00000000000006"/>
        <w:rPr>
          <w:rFonts w:ascii="Tahoma" w:cs="Tahoma" w:eastAsia="Tahoma" w:hAnsi="Tahoma"/>
          <w:sz w:val="22"/>
          <w:szCs w:val="22"/>
        </w:rPr>
      </w:pPr>
      <w:sdt>
        <w:sdtPr>
          <w:id w:val="1732791952"/>
          <w:tag w:val="goog_rdk_5"/>
        </w:sdtPr>
        <w:sdtContent>
          <w:r w:rsidDel="00000000" w:rsidR="00000000" w:rsidRPr="00000000">
            <w:rPr>
              <w:rFonts w:ascii="Arial Unicode MS" w:cs="Arial Unicode MS" w:eastAsia="Arial Unicode MS" w:hAnsi="Arial Unicode MS"/>
              <w:sz w:val="20"/>
              <w:szCs w:val="20"/>
              <w:rtl w:val="0"/>
            </w:rPr>
            <w:t xml:space="preserve">☐ </w:t>
          </w:r>
        </w:sdtContent>
      </w:sdt>
      <w:r w:rsidDel="00000000" w:rsidR="00000000" w:rsidRPr="00000000">
        <w:rPr>
          <w:rFonts w:ascii="Tahoma" w:cs="Tahoma" w:eastAsia="Tahoma" w:hAnsi="Tahoma"/>
          <w:sz w:val="22"/>
          <w:szCs w:val="22"/>
          <w:rtl w:val="0"/>
        </w:rPr>
        <w:t xml:space="preserve">Une checklist permettant au porteur de projet d’évaluer son éligibilité à une procédure simplifiée et, dans le cas où toutes les conditions ne seraient pas réunies, ce document reste utile pour faciliter l’instruction de la CNIL en mettant en avant les non-conformités sur lesquelles elle doit s’attarder. Une checklist est déclinée pour chacune des procédures simplifiées suivantes :</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ind w:left="216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w:t>
      </w:r>
      <w:hyperlink r:id="rId8">
        <w:r w:rsidDel="00000000" w:rsidR="00000000" w:rsidRPr="00000000">
          <w:rPr>
            <w:rFonts w:ascii="Tahoma" w:cs="Tahoma" w:eastAsia="Tahoma" w:hAnsi="Tahoma"/>
            <w:color w:val="1155cc"/>
            <w:sz w:val="22"/>
            <w:szCs w:val="22"/>
            <w:u w:val="single"/>
            <w:rtl w:val="0"/>
          </w:rPr>
          <w:t xml:space="preserve">MR-008</w:t>
        </w:r>
      </w:hyperlink>
      <w:r w:rsidDel="00000000" w:rsidR="00000000" w:rsidRPr="00000000">
        <w:rPr>
          <w:rFonts w:ascii="Tahoma" w:cs="Tahoma" w:eastAsia="Tahoma" w:hAnsi="Tahoma"/>
          <w:sz w:val="22"/>
          <w:szCs w:val="22"/>
          <w:rtl w:val="0"/>
        </w:rPr>
        <w:t xml:space="preserve"> en cas de mobilisation des seules données de la </w:t>
      </w:r>
      <w:hyperlink r:id="rId9">
        <w:r w:rsidDel="00000000" w:rsidR="00000000" w:rsidRPr="00000000">
          <w:rPr>
            <w:rFonts w:ascii="Tahoma" w:cs="Tahoma" w:eastAsia="Tahoma" w:hAnsi="Tahoma"/>
            <w:color w:val="1155cc"/>
            <w:sz w:val="22"/>
            <w:szCs w:val="22"/>
            <w:u w:val="single"/>
            <w:rtl w:val="0"/>
          </w:rPr>
          <w:t xml:space="preserve">base principale du SNDS</w:t>
        </w:r>
      </w:hyperlink>
      <w:r w:rsidDel="00000000" w:rsidR="00000000" w:rsidRPr="00000000">
        <w:rPr>
          <w:rFonts w:ascii="Tahoma" w:cs="Tahoma" w:eastAsia="Tahoma" w:hAnsi="Tahoma"/>
          <w:sz w:val="22"/>
          <w:szCs w:val="22"/>
          <w:rtl w:val="0"/>
        </w:rPr>
        <w:t xml:space="preserve"> pour réaliser un projet porté par un acteur privé</w:t>
      </w:r>
      <w:r w:rsidDel="00000000" w:rsidR="00000000" w:rsidRPr="00000000">
        <w:rPr>
          <w:rFonts w:ascii="Tahoma" w:cs="Tahoma" w:eastAsia="Tahoma" w:hAnsi="Tahoma"/>
          <w:sz w:val="22"/>
          <w:szCs w:val="22"/>
          <w:vertAlign w:val="superscript"/>
        </w:rPr>
        <w:footnoteReference w:customMarkFollows="0" w:id="0"/>
      </w: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ind w:left="216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w:t>
      </w:r>
      <w:hyperlink r:id="rId10">
        <w:r w:rsidDel="00000000" w:rsidR="00000000" w:rsidRPr="00000000">
          <w:rPr>
            <w:rFonts w:ascii="Tahoma" w:cs="Tahoma" w:eastAsia="Tahoma" w:hAnsi="Tahoma"/>
            <w:color w:val="1155cc"/>
            <w:sz w:val="22"/>
            <w:szCs w:val="22"/>
            <w:u w:val="single"/>
            <w:rtl w:val="0"/>
          </w:rPr>
          <w:t xml:space="preserve">MR-007</w:t>
        </w:r>
      </w:hyperlink>
      <w:r w:rsidDel="00000000" w:rsidR="00000000" w:rsidRPr="00000000">
        <w:rPr>
          <w:rFonts w:ascii="Tahoma" w:cs="Tahoma" w:eastAsia="Tahoma" w:hAnsi="Tahoma"/>
          <w:sz w:val="22"/>
          <w:szCs w:val="22"/>
          <w:rtl w:val="0"/>
        </w:rPr>
        <w:t xml:space="preserve"> en cas de mobilisation des seules données de la base principale du SNDS pour réaliser un projet porté par un acteur public</w:t>
      </w:r>
      <w:r w:rsidDel="00000000" w:rsidR="00000000" w:rsidRPr="00000000">
        <w:rPr>
          <w:rFonts w:ascii="Tahoma" w:cs="Tahoma" w:eastAsia="Tahoma" w:hAnsi="Tahoma"/>
          <w:sz w:val="22"/>
          <w:szCs w:val="22"/>
          <w:vertAlign w:val="superscript"/>
        </w:rPr>
        <w:footnoteReference w:customMarkFollows="0" w:id="1"/>
      </w: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ind w:left="216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w:t>
      </w:r>
      <w:hyperlink r:id="rId11">
        <w:r w:rsidDel="00000000" w:rsidR="00000000" w:rsidRPr="00000000">
          <w:rPr>
            <w:rFonts w:ascii="Tahoma" w:cs="Tahoma" w:eastAsia="Tahoma" w:hAnsi="Tahoma"/>
            <w:color w:val="1155cc"/>
            <w:sz w:val="22"/>
            <w:szCs w:val="22"/>
            <w:u w:val="single"/>
            <w:rtl w:val="0"/>
          </w:rPr>
          <w:t xml:space="preserve">MR-004</w:t>
        </w:r>
      </w:hyperlink>
      <w:r w:rsidDel="00000000" w:rsidR="00000000" w:rsidRPr="00000000">
        <w:rPr>
          <w:rFonts w:ascii="Tahoma" w:cs="Tahoma" w:eastAsia="Tahoma" w:hAnsi="Tahoma"/>
          <w:sz w:val="22"/>
          <w:szCs w:val="22"/>
          <w:rtl w:val="0"/>
        </w:rPr>
        <w:t xml:space="preserve"> pour les autres cas (autres données de santé mises en relation ou non avec celles de la base principale du SNDS)</w:t>
      </w:r>
      <w:r w:rsidDel="00000000" w:rsidR="00000000" w:rsidRPr="00000000">
        <w:rPr>
          <w:rFonts w:ascii="Tahoma" w:cs="Tahoma" w:eastAsia="Tahoma" w:hAnsi="Tahoma"/>
          <w:sz w:val="22"/>
          <w:szCs w:val="22"/>
          <w:vertAlign w:val="superscript"/>
        </w:rPr>
        <w:footnoteReference w:customMarkFollows="0" w:id="2"/>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011">
      <w:pPr>
        <w:ind w:left="1440" w:hanging="305.99999999999994"/>
        <w:rPr>
          <w:rFonts w:ascii="Tahoma" w:cs="Tahoma" w:eastAsia="Tahoma" w:hAnsi="Tahoma"/>
          <w:sz w:val="22"/>
          <w:szCs w:val="22"/>
        </w:rPr>
      </w:pPr>
      <w:sdt>
        <w:sdtPr>
          <w:id w:val="-533429037"/>
          <w:tag w:val="goog_rdk_6"/>
        </w:sdtPr>
        <w:sdtContent>
          <w:r w:rsidDel="00000000" w:rsidR="00000000" w:rsidRPr="00000000">
            <w:rPr>
              <w:rFonts w:ascii="Arial Unicode MS" w:cs="Arial Unicode MS" w:eastAsia="Arial Unicode MS" w:hAnsi="Arial Unicode MS"/>
              <w:sz w:val="20"/>
              <w:szCs w:val="20"/>
              <w:rtl w:val="0"/>
            </w:rPr>
            <w:t xml:space="preserve">☐ </w:t>
          </w:r>
        </w:sdtContent>
      </w:sdt>
      <w:r w:rsidDel="00000000" w:rsidR="00000000" w:rsidRPr="00000000">
        <w:rPr>
          <w:rFonts w:ascii="Tahoma" w:cs="Tahoma" w:eastAsia="Tahoma" w:hAnsi="Tahoma"/>
          <w:sz w:val="22"/>
          <w:szCs w:val="22"/>
          <w:rtl w:val="0"/>
        </w:rPr>
        <w:t xml:space="preserve">Le cas échéant, la lettre d’information</w:t>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ind w:left="720" w:hanging="360"/>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Une seule case “non” suffit à ne pas valider la complétude du dossier</w:t>
      </w:r>
    </w:p>
    <w:p w:rsidR="00000000" w:rsidDel="00000000" w:rsidP="00000000" w:rsidRDefault="00000000" w:rsidRPr="00000000" w14:paraId="00000013">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1"/>
          <w:bCs w:val="1"/>
          <w:i w:val="0"/>
          <w:iCs w:val="0"/>
          <w:smallCaps w:val="0"/>
          <w:strike w:val="0"/>
          <w:color w:val="036287"/>
          <w:sz w:val="26"/>
          <w:szCs w:val="26"/>
          <w:u w:val="none"/>
          <w:shd w:fill="auto" w:val="clear"/>
          <w:vertAlign w:val="baseline"/>
        </w:rPr>
      </w:pPr>
      <w:r w:rsidDel="00000000" w:rsidR="00000000" w:rsidRPr="00000000">
        <w:rPr>
          <w:rFonts w:ascii="Tahoma" w:cs="Tahoma" w:eastAsia="Tahoma" w:hAnsi="Tahoma"/>
          <w:b w:val="1"/>
          <w:bCs w:val="1"/>
          <w:i w:val="0"/>
          <w:iCs w:val="0"/>
          <w:smallCaps w:val="0"/>
          <w:strike w:val="0"/>
          <w:color w:val="036287"/>
          <w:sz w:val="26"/>
          <w:szCs w:val="26"/>
          <w:u w:val="none"/>
          <w:shd w:fill="auto" w:val="clear"/>
          <w:vertAlign w:val="baseline"/>
          <w:rtl w:val="0"/>
        </w:rPr>
        <w:t xml:space="preserve">Nom du projet et acronyme</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6">
      <w:pPr>
        <w:widowControl w:val="0"/>
        <w:numPr>
          <w:ilvl w:val="0"/>
          <w:numId w:val="3"/>
        </w:numPr>
        <w:pBdr>
          <w:top w:space="0" w:sz="0" w:val="nil"/>
          <w:left w:space="0" w:sz="0" w:val="nil"/>
          <w:bottom w:space="0" w:sz="0" w:val="nil"/>
          <w:right w:space="0" w:sz="0" w:val="nil"/>
          <w:between w:space="0" w:sz="0" w:val="nil"/>
        </w:pBdr>
        <w:ind w:left="720" w:hanging="360"/>
        <w:rPr>
          <w:rFonts w:ascii="Tahoma" w:cs="Tahoma" w:eastAsia="Tahoma" w:hAnsi="Tahoma"/>
          <w:sz w:val="22"/>
          <w:szCs w:val="22"/>
        </w:rPr>
        <w:sectPr>
          <w:headerReference r:id="rId12" w:type="default"/>
          <w:footerReference r:id="rId13" w:type="default"/>
          <w:pgSz w:h="16840" w:w="11900" w:orient="portrait"/>
          <w:pgMar w:bottom="1417" w:top="1700" w:left="1417" w:right="1417" w:header="720" w:footer="119"/>
          <w:pgNumType w:start="1"/>
        </w:sectPr>
      </w:pPr>
      <w:r w:rsidDel="00000000" w:rsidR="00000000" w:rsidRPr="00000000">
        <w:rPr>
          <w:rFonts w:ascii="Tahoma" w:cs="Tahoma" w:eastAsia="Tahoma" w:hAnsi="Tahoma"/>
          <w:sz w:val="22"/>
          <w:szCs w:val="22"/>
          <w:rtl w:val="0"/>
        </w:rPr>
        <w:t xml:space="preserve">Projet et acronyme : </w:t>
      </w:r>
      <w:r w:rsidDel="00000000" w:rsidR="00000000" w:rsidRPr="00000000">
        <w:rPr>
          <w:rFonts w:ascii="Tahoma" w:cs="Tahoma" w:eastAsia="Tahoma" w:hAnsi="Tahoma"/>
          <w:sz w:val="22"/>
          <w:szCs w:val="22"/>
          <w:shd w:fill="d9ead3" w:val="clear"/>
          <w:rtl w:val="0"/>
        </w:rPr>
        <w:t xml:space="preserve"> &lt;XXX&gt;</w:t>
      </w:r>
      <w:r w:rsidDel="00000000" w:rsidR="00000000" w:rsidRPr="00000000">
        <w:rPr>
          <w:rtl w:val="0"/>
        </w:rPr>
      </w:r>
    </w:p>
    <w:p w:rsidR="00000000" w:rsidDel="00000000" w:rsidP="00000000" w:rsidRDefault="00000000" w:rsidRPr="00000000" w14:paraId="00000017">
      <w:pPr>
        <w:keepNext w:val="1"/>
        <w:keepLines w:val="1"/>
        <w:pBdr>
          <w:top w:space="0" w:sz="0" w:val="nil"/>
          <w:left w:space="0" w:sz="0" w:val="nil"/>
          <w:bottom w:space="0" w:sz="0" w:val="nil"/>
          <w:right w:space="0" w:sz="0" w:val="nil"/>
          <w:between w:space="0" w:sz="0" w:val="nil"/>
        </w:pBdr>
        <w:spacing w:after="60" w:before="60" w:lineRule="auto"/>
        <w:rPr>
          <w:rFonts w:ascii="Tahoma" w:cs="Tahoma" w:eastAsia="Tahoma" w:hAnsi="Tahoma"/>
          <w:color w:val="036287"/>
        </w:rPr>
      </w:pPr>
      <w:r w:rsidDel="00000000" w:rsidR="00000000" w:rsidRPr="00000000">
        <w:rPr>
          <w:rFonts w:ascii="Tahoma" w:cs="Tahoma" w:eastAsia="Tahoma" w:hAnsi="Tahoma"/>
          <w:color w:val="036287"/>
          <w:rtl w:val="0"/>
        </w:rPr>
        <w:t xml:space="preserve">GENERAL</w:t>
      </w:r>
    </w:p>
    <w:tbl>
      <w:tblPr>
        <w:tblStyle w:val="Table1"/>
        <w:tblW w:w="8789.0" w:type="dxa"/>
        <w:jc w:val="left"/>
        <w:tblInd w:w="-15.0" w:type="dxa"/>
        <w:tblBorders>
          <w:top w:color="036287" w:space="0" w:sz="12" w:val="single"/>
          <w:left w:color="036287" w:space="0" w:sz="12" w:val="single"/>
          <w:bottom w:color="036287" w:space="0" w:sz="12" w:val="single"/>
          <w:right w:color="036287" w:space="0" w:sz="12" w:val="single"/>
          <w:insideH w:color="036287" w:space="0" w:sz="12" w:val="single"/>
          <w:insideV w:color="036287" w:space="0" w:sz="12" w:val="single"/>
        </w:tblBorders>
        <w:tblLayout w:type="fixed"/>
        <w:tblLook w:val="0600"/>
      </w:tblPr>
      <w:tblGrid>
        <w:gridCol w:w="7275"/>
        <w:gridCol w:w="720"/>
        <w:gridCol w:w="794"/>
        <w:tblGridChange w:id="0">
          <w:tblGrid>
            <w:gridCol w:w="7275"/>
            <w:gridCol w:w="720"/>
            <w:gridCol w:w="79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8">
            <w:pPr>
              <w:rPr>
                <w:rFonts w:ascii="Tahoma" w:cs="Tahoma" w:eastAsia="Tahoma" w:hAnsi="Tahoma"/>
                <w:b w:val="1"/>
                <w:bCs w:val="1"/>
                <w:color w:val="007fa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9">
            <w:pPr>
              <w:widowControl w:val="0"/>
              <w:jc w:val="center"/>
              <w:rPr>
                <w:rFonts w:ascii="Tahoma" w:cs="Tahoma" w:eastAsia="Tahoma" w:hAnsi="Tahoma"/>
                <w:b w:val="1"/>
                <w:bCs w:val="1"/>
                <w:color w:val="007fa1"/>
                <w:sz w:val="22"/>
                <w:szCs w:val="22"/>
              </w:rPr>
            </w:pPr>
            <w:r w:rsidDel="00000000" w:rsidR="00000000" w:rsidRPr="00000000">
              <w:rPr>
                <w:rFonts w:ascii="Tahoma" w:cs="Tahoma" w:eastAsia="Tahoma" w:hAnsi="Tahoma"/>
                <w:b w:val="1"/>
                <w:bCs w:val="1"/>
                <w:color w:val="007fa1"/>
                <w:sz w:val="22"/>
                <w:szCs w:val="22"/>
                <w:rtl w:val="0"/>
              </w:rPr>
              <w:t xml:space="preserve">OUI</w:t>
            </w:r>
          </w:p>
        </w:tc>
        <w:tc>
          <w:tcPr>
            <w:shd w:fill="auto" w:val="clear"/>
            <w:tcMar>
              <w:top w:w="100.0" w:type="dxa"/>
              <w:left w:w="100.0" w:type="dxa"/>
              <w:bottom w:w="100.0" w:type="dxa"/>
              <w:right w:w="100.0" w:type="dxa"/>
            </w:tcMar>
          </w:tcPr>
          <w:p w:rsidR="00000000" w:rsidDel="00000000" w:rsidP="00000000" w:rsidRDefault="00000000" w:rsidRPr="00000000" w14:paraId="0000001A">
            <w:pPr>
              <w:widowControl w:val="0"/>
              <w:jc w:val="center"/>
              <w:rPr>
                <w:rFonts w:ascii="Tahoma" w:cs="Tahoma" w:eastAsia="Tahoma" w:hAnsi="Tahoma"/>
                <w:b w:val="1"/>
                <w:bCs w:val="1"/>
                <w:color w:val="007fa1"/>
                <w:sz w:val="22"/>
                <w:szCs w:val="22"/>
              </w:rPr>
            </w:pPr>
            <w:r w:rsidDel="00000000" w:rsidR="00000000" w:rsidRPr="00000000">
              <w:rPr>
                <w:rFonts w:ascii="Tahoma" w:cs="Tahoma" w:eastAsia="Tahoma" w:hAnsi="Tahoma"/>
                <w:b w:val="1"/>
                <w:bCs w:val="1"/>
                <w:color w:val="007fa1"/>
                <w:sz w:val="22"/>
                <w:szCs w:val="22"/>
                <w:rtl w:val="0"/>
              </w:rPr>
              <w:t xml:space="preserve">NON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60" w:before="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structure, le format et le nombre de pages sont respectés et la taille de police utilisée est standard.</w:t>
            </w:r>
          </w:p>
        </w:tc>
        <w:tc>
          <w:tcPr>
            <w:shd w:fill="auto" w:val="clear"/>
            <w:tcMar>
              <w:top w:w="100.0" w:type="dxa"/>
              <w:left w:w="100.0" w:type="dxa"/>
              <w:bottom w:w="100.0" w:type="dxa"/>
              <w:right w:w="100.0" w:type="dxa"/>
            </w:tcMa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60" w:before="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Si le projet nécessite l’utilisation de données de la base principale du SNDS, l’expression de besoin annexée au protocole a été remplie.</w:t>
            </w:r>
          </w:p>
        </w:tc>
        <w:tc>
          <w:tcPr>
            <w:shd w:fill="auto" w:val="clear"/>
            <w:tcMar>
              <w:top w:w="100.0" w:type="dxa"/>
              <w:left w:w="100.0" w:type="dxa"/>
              <w:bottom w:w="100.0" w:type="dxa"/>
              <w:right w:w="100.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r>
    </w:tbl>
    <w:p w:rsidR="00000000" w:rsidDel="00000000" w:rsidP="00000000" w:rsidRDefault="00000000" w:rsidRPr="00000000" w14:paraId="00000021">
      <w:pPr>
        <w:keepNext w:val="1"/>
        <w:keepLines w:val="1"/>
        <w:pBdr>
          <w:top w:space="0" w:sz="0" w:val="nil"/>
          <w:left w:space="0" w:sz="0" w:val="nil"/>
          <w:bottom w:space="0" w:sz="0" w:val="nil"/>
          <w:right w:space="0" w:sz="0" w:val="nil"/>
          <w:between w:space="0" w:sz="0" w:val="nil"/>
        </w:pBdr>
        <w:spacing w:after="60" w:before="60" w:lineRule="auto"/>
        <w:rPr>
          <w:rFonts w:ascii="Tahoma" w:cs="Tahoma" w:eastAsia="Tahoma" w:hAnsi="Tahoma"/>
          <w:color w:val="007fa1"/>
          <w:sz w:val="22"/>
          <w:szCs w:val="22"/>
        </w:rPr>
      </w:pPr>
      <w:r w:rsidDel="00000000" w:rsidR="00000000" w:rsidRPr="00000000">
        <w:rPr>
          <w:rtl w:val="0"/>
        </w:rPr>
      </w:r>
    </w:p>
    <w:p w:rsidR="00000000" w:rsidDel="00000000" w:rsidP="00000000" w:rsidRDefault="00000000" w:rsidRPr="00000000" w14:paraId="00000022">
      <w:pPr>
        <w:keepNext w:val="1"/>
        <w:keepLines w:val="1"/>
        <w:pBdr>
          <w:top w:space="0" w:sz="0" w:val="nil"/>
          <w:left w:space="0" w:sz="0" w:val="nil"/>
          <w:bottom w:space="0" w:sz="0" w:val="nil"/>
          <w:right w:space="0" w:sz="0" w:val="nil"/>
          <w:between w:space="0" w:sz="0" w:val="nil"/>
        </w:pBdr>
        <w:spacing w:after="60" w:before="60" w:lineRule="auto"/>
        <w:rPr>
          <w:rFonts w:ascii="Tahoma" w:cs="Tahoma" w:eastAsia="Tahoma" w:hAnsi="Tahoma"/>
          <w:color w:val="036287"/>
        </w:rPr>
      </w:pPr>
      <w:r w:rsidDel="00000000" w:rsidR="00000000" w:rsidRPr="00000000">
        <w:rPr>
          <w:rFonts w:ascii="Tahoma" w:cs="Tahoma" w:eastAsia="Tahoma" w:hAnsi="Tahoma"/>
          <w:color w:val="036287"/>
          <w:rtl w:val="0"/>
        </w:rPr>
        <w:t xml:space="preserve">INTRODUCTION, OBJECTIF ET FINALITÉ</w:t>
      </w:r>
    </w:p>
    <w:tbl>
      <w:tblPr>
        <w:tblStyle w:val="Table2"/>
        <w:tblW w:w="8789.0" w:type="dxa"/>
        <w:jc w:val="left"/>
        <w:tblInd w:w="-15.0" w:type="dxa"/>
        <w:tblBorders>
          <w:top w:color="036287" w:space="0" w:sz="12" w:val="single"/>
          <w:left w:color="036287" w:space="0" w:sz="12" w:val="single"/>
          <w:bottom w:color="036287" w:space="0" w:sz="12" w:val="single"/>
          <w:right w:color="036287" w:space="0" w:sz="12" w:val="single"/>
          <w:insideH w:color="036287" w:space="0" w:sz="12" w:val="single"/>
          <w:insideV w:color="036287" w:space="0" w:sz="12" w:val="single"/>
        </w:tblBorders>
        <w:tblLayout w:type="fixed"/>
        <w:tblLook w:val="0600"/>
      </w:tblPr>
      <w:tblGrid>
        <w:gridCol w:w="7275"/>
        <w:gridCol w:w="720"/>
        <w:gridCol w:w="794"/>
        <w:tblGridChange w:id="0">
          <w:tblGrid>
            <w:gridCol w:w="7275"/>
            <w:gridCol w:w="720"/>
            <w:gridCol w:w="794"/>
          </w:tblGrid>
        </w:tblGridChange>
      </w:tblGrid>
      <w:tr>
        <w:trPr>
          <w:cantSplit w:val="0"/>
          <w:tblHeader w:val="1"/>
        </w:trPr>
        <w:tc>
          <w:tcPr>
            <w:shd w:fill="auto" w:val="clear"/>
            <w:tcMar>
              <w:top w:w="100.0" w:type="dxa"/>
              <w:left w:w="100.0" w:type="dxa"/>
              <w:bottom w:w="100.0" w:type="dxa"/>
              <w:right w:w="100.0" w:type="dxa"/>
            </w:tcMar>
          </w:tcPr>
          <w:p w:rsidR="00000000" w:rsidDel="00000000" w:rsidP="00000000" w:rsidRDefault="00000000" w:rsidRPr="00000000" w14:paraId="00000023">
            <w:pPr>
              <w:rPr>
                <w:rFonts w:ascii="Tahoma" w:cs="Tahoma" w:eastAsia="Tahoma" w:hAnsi="Tahoma"/>
                <w:b w:val="1"/>
                <w:bCs w:val="1"/>
                <w:color w:val="007fa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4">
            <w:pPr>
              <w:widowControl w:val="0"/>
              <w:jc w:val="center"/>
              <w:rPr>
                <w:rFonts w:ascii="Tahoma" w:cs="Tahoma" w:eastAsia="Tahoma" w:hAnsi="Tahoma"/>
                <w:b w:val="1"/>
                <w:bCs w:val="1"/>
                <w:color w:val="007fa1"/>
                <w:sz w:val="22"/>
                <w:szCs w:val="22"/>
              </w:rPr>
            </w:pPr>
            <w:r w:rsidDel="00000000" w:rsidR="00000000" w:rsidRPr="00000000">
              <w:rPr>
                <w:rFonts w:ascii="Tahoma" w:cs="Tahoma" w:eastAsia="Tahoma" w:hAnsi="Tahoma"/>
                <w:b w:val="1"/>
                <w:bCs w:val="1"/>
                <w:color w:val="007fa1"/>
                <w:sz w:val="22"/>
                <w:szCs w:val="22"/>
                <w:rtl w:val="0"/>
              </w:rPr>
              <w:t xml:space="preserve">OUI</w:t>
            </w:r>
          </w:p>
        </w:tc>
        <w:tc>
          <w:tcPr>
            <w:shd w:fill="auto" w:val="clear"/>
            <w:tcMar>
              <w:top w:w="100.0" w:type="dxa"/>
              <w:left w:w="100.0" w:type="dxa"/>
              <w:bottom w:w="100.0" w:type="dxa"/>
              <w:right w:w="100.0" w:type="dxa"/>
            </w:tcMar>
          </w:tcPr>
          <w:p w:rsidR="00000000" w:rsidDel="00000000" w:rsidP="00000000" w:rsidRDefault="00000000" w:rsidRPr="00000000" w14:paraId="00000025">
            <w:pPr>
              <w:widowControl w:val="0"/>
              <w:jc w:val="center"/>
              <w:rPr>
                <w:rFonts w:ascii="Tahoma" w:cs="Tahoma" w:eastAsia="Tahoma" w:hAnsi="Tahoma"/>
                <w:b w:val="1"/>
                <w:bCs w:val="1"/>
                <w:color w:val="007fa1"/>
                <w:sz w:val="22"/>
                <w:szCs w:val="22"/>
              </w:rPr>
            </w:pPr>
            <w:r w:rsidDel="00000000" w:rsidR="00000000" w:rsidRPr="00000000">
              <w:rPr>
                <w:rFonts w:ascii="Tahoma" w:cs="Tahoma" w:eastAsia="Tahoma" w:hAnsi="Tahoma"/>
                <w:b w:val="1"/>
                <w:bCs w:val="1"/>
                <w:color w:val="007fa1"/>
                <w:sz w:val="22"/>
                <w:szCs w:val="22"/>
                <w:rtl w:val="0"/>
              </w:rPr>
              <w:t xml:space="preserve">NON</w:t>
            </w:r>
          </w:p>
        </w:tc>
      </w:tr>
      <w:tr>
        <w:trPr>
          <w:cantSplit w:val="0"/>
          <w:tblHeader w:val="1"/>
        </w:trPr>
        <w:tc>
          <w:tcPr>
            <w:shd w:fill="auto" w:val="clear"/>
            <w:tcMar>
              <w:top w:w="100.0" w:type="dxa"/>
              <w:left w:w="100.0" w:type="dxa"/>
              <w:bottom w:w="100.0" w:type="dxa"/>
              <w:right w:w="10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60" w:before="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Le ou les responsables de traitement (RT), au sens du RGPD, sont clairement identifiés ainsi que le responsable de mise en œuvre (RMO), le cas échéant. Le Délégué à la Protection des Données du RT est identifié.</w:t>
            </w:r>
          </w:p>
        </w:tc>
        <w:tc>
          <w:tcPr>
            <w:shd w:fill="auto" w:val="clear"/>
            <w:tcMar>
              <w:top w:w="100.0" w:type="dxa"/>
              <w:left w:w="100.0" w:type="dxa"/>
              <w:bottom w:w="100.0" w:type="dxa"/>
              <w:right w:w="100.0" w:type="dxa"/>
            </w:tcMa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r>
      <w:tr>
        <w:trPr>
          <w:cantSplit w:val="0"/>
          <w:tblHeader w:val="1"/>
        </w:trPr>
        <w:tc>
          <w:tcPr>
            <w:shd w:fill="auto" w:val="clear"/>
            <w:tcMar>
              <w:top w:w="100.0" w:type="dxa"/>
              <w:left w:w="100.0" w:type="dxa"/>
              <w:bottom w:w="100.0" w:type="dxa"/>
              <w:right w:w="10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60" w:before="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Le contexte et la justification du projet permettant de comprendre sa pertinence du projet sont précisés.</w:t>
            </w:r>
          </w:p>
        </w:tc>
        <w:tc>
          <w:tcPr>
            <w:shd w:fill="auto" w:val="clear"/>
            <w:tcMar>
              <w:top w:w="100.0" w:type="dxa"/>
              <w:left w:w="100.0" w:type="dxa"/>
              <w:bottom w:w="100.0" w:type="dxa"/>
              <w:right w:w="100.0" w:type="dxa"/>
            </w:tcMa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r>
      <w:tr>
        <w:trPr>
          <w:cantSplit w:val="0"/>
          <w:tblHeader w:val="1"/>
        </w:trPr>
        <w:tc>
          <w:tcPr>
            <w:shd w:fill="auto" w:val="clear"/>
            <w:tcMar>
              <w:top w:w="100.0" w:type="dxa"/>
              <w:left w:w="100.0" w:type="dxa"/>
              <w:bottom w:w="100.0" w:type="dxa"/>
              <w:right w:w="10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60" w:before="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Le(s) objectif(s) de l’étude, les critères d’évaluation associés et la nature du(es) bénéfice(s) sont déclinés.</w:t>
            </w:r>
          </w:p>
        </w:tc>
        <w:tc>
          <w:tcPr>
            <w:shd w:fill="auto" w:val="clear"/>
            <w:tcMar>
              <w:top w:w="100.0" w:type="dxa"/>
              <w:left w:w="100.0" w:type="dxa"/>
              <w:bottom w:w="100.0" w:type="dxa"/>
              <w:right w:w="100.0" w:type="dxa"/>
            </w:tcMar>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r>
      <w:tr>
        <w:trPr>
          <w:cantSplit w:val="0"/>
          <w:tblHeader w:val="1"/>
        </w:trPr>
        <w:tc>
          <w:tcPr>
            <w:shd w:fill="auto" w:val="clear"/>
            <w:tcMar>
              <w:top w:w="100.0" w:type="dxa"/>
              <w:left w:w="100.0" w:type="dxa"/>
              <w:bottom w:w="100.0" w:type="dxa"/>
              <w:right w:w="10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60" w:before="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Il est précisé en quoi l’étude est conforme aux principes éthiques, les modalités d’information mises en œuvre sont précisées ainsi que les récipiendaires de la note d’information.</w:t>
            </w:r>
          </w:p>
        </w:tc>
        <w:tc>
          <w:tcPr>
            <w:shd w:fill="auto" w:val="clear"/>
            <w:tcMar>
              <w:top w:w="100.0" w:type="dxa"/>
              <w:left w:w="100.0" w:type="dxa"/>
              <w:bottom w:w="100.0" w:type="dxa"/>
              <w:right w:w="100.0" w:type="dxa"/>
            </w:tcMar>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r>
      <w:tr>
        <w:trPr>
          <w:cantSplit w:val="0"/>
          <w:tblHeader w:val="1"/>
        </w:trPr>
        <w:tc>
          <w:tcPr>
            <w:shd w:fill="auto" w:val="clear"/>
            <w:tcMar>
              <w:top w:w="100.0" w:type="dxa"/>
              <w:left w:w="100.0" w:type="dxa"/>
              <w:bottom w:w="100.0" w:type="dxa"/>
              <w:right w:w="10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60" w:before="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L'intérêt public de l’étude est détaillé : bénéfice pour la société, mise à disposition des résultats et leur diffusion la plus large, etc.</w:t>
            </w:r>
          </w:p>
        </w:tc>
        <w:tc>
          <w:tcPr>
            <w:shd w:fill="auto" w:val="clear"/>
            <w:tcMar>
              <w:top w:w="100.0" w:type="dxa"/>
              <w:left w:w="100.0" w:type="dxa"/>
              <w:bottom w:w="100.0" w:type="dxa"/>
              <w:right w:w="100.0" w:type="dxa"/>
            </w:tcMa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r>
    </w:tbl>
    <w:p w:rsidR="00000000" w:rsidDel="00000000" w:rsidP="00000000" w:rsidRDefault="00000000" w:rsidRPr="00000000" w14:paraId="00000035">
      <w:pPr>
        <w:keepNext w:val="1"/>
        <w:keepLines w:val="1"/>
        <w:pBdr>
          <w:top w:space="0" w:sz="0" w:val="nil"/>
          <w:left w:space="0" w:sz="0" w:val="nil"/>
          <w:bottom w:space="0" w:sz="0" w:val="nil"/>
          <w:right w:space="0" w:sz="0" w:val="nil"/>
          <w:between w:space="0" w:sz="0" w:val="nil"/>
        </w:pBdr>
        <w:spacing w:after="60" w:before="60" w:lineRule="auto"/>
        <w:rPr>
          <w:rFonts w:ascii="Tahoma" w:cs="Tahoma" w:eastAsia="Tahoma" w:hAnsi="Tahoma"/>
          <w:color w:val="007fa1"/>
          <w:sz w:val="22"/>
          <w:szCs w:val="22"/>
        </w:rPr>
      </w:pPr>
      <w:r w:rsidDel="00000000" w:rsidR="00000000" w:rsidRPr="00000000">
        <w:rPr>
          <w:rtl w:val="0"/>
        </w:rPr>
      </w:r>
    </w:p>
    <w:p w:rsidR="00000000" w:rsidDel="00000000" w:rsidP="00000000" w:rsidRDefault="00000000" w:rsidRPr="00000000" w14:paraId="00000036">
      <w:pPr>
        <w:keepNext w:val="1"/>
        <w:keepLines w:val="1"/>
        <w:pBdr>
          <w:top w:space="0" w:sz="0" w:val="nil"/>
          <w:left w:space="0" w:sz="0" w:val="nil"/>
          <w:bottom w:space="0" w:sz="0" w:val="nil"/>
          <w:right w:space="0" w:sz="0" w:val="nil"/>
          <w:between w:space="0" w:sz="0" w:val="nil"/>
        </w:pBdr>
        <w:spacing w:after="60" w:before="60" w:lineRule="auto"/>
        <w:rPr>
          <w:rFonts w:ascii="Tahoma" w:cs="Tahoma" w:eastAsia="Tahoma" w:hAnsi="Tahoma"/>
          <w:color w:val="036287"/>
        </w:rPr>
      </w:pPr>
      <w:r w:rsidDel="00000000" w:rsidR="00000000" w:rsidRPr="00000000">
        <w:rPr>
          <w:rFonts w:ascii="Tahoma" w:cs="Tahoma" w:eastAsia="Tahoma" w:hAnsi="Tahoma"/>
          <w:color w:val="036287"/>
          <w:rtl w:val="0"/>
        </w:rPr>
        <w:t xml:space="preserve">MÉTHODOLOGIE</w:t>
      </w:r>
    </w:p>
    <w:tbl>
      <w:tblPr>
        <w:tblStyle w:val="Table3"/>
        <w:tblW w:w="8789.0" w:type="dxa"/>
        <w:jc w:val="left"/>
        <w:tblInd w:w="-15.0" w:type="dxa"/>
        <w:tblBorders>
          <w:top w:color="036287" w:space="0" w:sz="12" w:val="single"/>
          <w:left w:color="036287" w:space="0" w:sz="12" w:val="single"/>
          <w:bottom w:color="036287" w:space="0" w:sz="12" w:val="single"/>
          <w:right w:color="036287" w:space="0" w:sz="12" w:val="single"/>
          <w:insideH w:color="036287" w:space="0" w:sz="12" w:val="single"/>
          <w:insideV w:color="036287" w:space="0" w:sz="12" w:val="single"/>
        </w:tblBorders>
        <w:tblLayout w:type="fixed"/>
        <w:tblLook w:val="0600"/>
      </w:tblPr>
      <w:tblGrid>
        <w:gridCol w:w="7275"/>
        <w:gridCol w:w="720"/>
        <w:gridCol w:w="794"/>
        <w:tblGridChange w:id="0">
          <w:tblGrid>
            <w:gridCol w:w="7275"/>
            <w:gridCol w:w="720"/>
            <w:gridCol w:w="79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7">
            <w:pPr>
              <w:rPr>
                <w:rFonts w:ascii="Tahoma" w:cs="Tahoma" w:eastAsia="Tahoma" w:hAnsi="Tahoma"/>
                <w:b w:val="1"/>
                <w:bCs w:val="1"/>
                <w:color w:val="007fa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8">
            <w:pPr>
              <w:widowControl w:val="0"/>
              <w:jc w:val="center"/>
              <w:rPr>
                <w:rFonts w:ascii="Tahoma" w:cs="Tahoma" w:eastAsia="Tahoma" w:hAnsi="Tahoma"/>
                <w:b w:val="1"/>
                <w:bCs w:val="1"/>
                <w:color w:val="007fa1"/>
                <w:sz w:val="22"/>
                <w:szCs w:val="22"/>
              </w:rPr>
            </w:pPr>
            <w:r w:rsidDel="00000000" w:rsidR="00000000" w:rsidRPr="00000000">
              <w:rPr>
                <w:rFonts w:ascii="Tahoma" w:cs="Tahoma" w:eastAsia="Tahoma" w:hAnsi="Tahoma"/>
                <w:b w:val="1"/>
                <w:bCs w:val="1"/>
                <w:color w:val="007fa1"/>
                <w:sz w:val="22"/>
                <w:szCs w:val="22"/>
                <w:rtl w:val="0"/>
              </w:rPr>
              <w:t xml:space="preserve">OUI</w:t>
            </w:r>
          </w:p>
        </w:tc>
        <w:tc>
          <w:tcPr>
            <w:shd w:fill="auto" w:val="clear"/>
            <w:tcMar>
              <w:top w:w="100.0" w:type="dxa"/>
              <w:left w:w="100.0" w:type="dxa"/>
              <w:bottom w:w="100.0" w:type="dxa"/>
              <w:right w:w="100.0" w:type="dxa"/>
            </w:tcMar>
          </w:tcPr>
          <w:p w:rsidR="00000000" w:rsidDel="00000000" w:rsidP="00000000" w:rsidRDefault="00000000" w:rsidRPr="00000000" w14:paraId="00000039">
            <w:pPr>
              <w:widowControl w:val="0"/>
              <w:jc w:val="center"/>
              <w:rPr>
                <w:rFonts w:ascii="Tahoma" w:cs="Tahoma" w:eastAsia="Tahoma" w:hAnsi="Tahoma"/>
                <w:b w:val="1"/>
                <w:bCs w:val="1"/>
                <w:color w:val="007fa1"/>
                <w:sz w:val="22"/>
                <w:szCs w:val="22"/>
              </w:rPr>
            </w:pPr>
            <w:r w:rsidDel="00000000" w:rsidR="00000000" w:rsidRPr="00000000">
              <w:rPr>
                <w:rFonts w:ascii="Tahoma" w:cs="Tahoma" w:eastAsia="Tahoma" w:hAnsi="Tahoma"/>
                <w:b w:val="1"/>
                <w:bCs w:val="1"/>
                <w:color w:val="007fa1"/>
                <w:sz w:val="22"/>
                <w:szCs w:val="22"/>
                <w:rtl w:val="0"/>
              </w:rPr>
              <w:t xml:space="preserve">NON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60" w:before="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Les sources de données mobilisées sont décrites.</w:t>
            </w:r>
          </w:p>
        </w:tc>
        <w:tc>
          <w:tcPr>
            <w:shd w:fill="auto" w:val="clear"/>
            <w:tcMar>
              <w:top w:w="100.0" w:type="dxa"/>
              <w:left w:w="100.0" w:type="dxa"/>
              <w:bottom w:w="100.0" w:type="dxa"/>
              <w:right w:w="100.0" w:type="dxa"/>
            </w:tcMa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60" w:before="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Les variables nécessaires à l’étude sont précisées.</w:t>
            </w:r>
          </w:p>
        </w:tc>
        <w:tc>
          <w:tcPr>
            <w:shd w:fill="auto" w:val="clear"/>
            <w:tcMar>
              <w:top w:w="100.0" w:type="dxa"/>
              <w:left w:w="100.0" w:type="dxa"/>
              <w:bottom w:w="100.0" w:type="dxa"/>
              <w:right w:w="100.0" w:type="dxa"/>
            </w:tcMa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60" w:before="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L'historique des données nécessaires pour l'étude (et l’extraction lorsque différent) est précisé en année (de telle année à telle année).</w:t>
            </w:r>
          </w:p>
        </w:tc>
        <w:tc>
          <w:tcPr>
            <w:shd w:fill="auto" w:val="clear"/>
            <w:tcMar>
              <w:top w:w="100.0" w:type="dxa"/>
              <w:left w:w="100.0" w:type="dxa"/>
              <w:bottom w:w="100.0" w:type="dxa"/>
              <w:right w:w="100.0" w:type="dxa"/>
            </w:tcMar>
          </w:tcPr>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60" w:before="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Les critères de sélection de la population d'étude sont explicités.</w:t>
            </w:r>
          </w:p>
        </w:tc>
        <w:tc>
          <w:tcPr>
            <w:shd w:fill="auto" w:val="clear"/>
            <w:tcMar>
              <w:top w:w="100.0" w:type="dxa"/>
              <w:left w:w="100.0" w:type="dxa"/>
              <w:bottom w:w="100.0" w:type="dxa"/>
              <w:right w:w="100.0" w:type="dxa"/>
            </w:tcMa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60" w:before="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Une estimation de la population d’étude est fournie.</w:t>
            </w:r>
          </w:p>
        </w:tc>
        <w:tc>
          <w:tcPr>
            <w:shd w:fill="auto" w:val="clear"/>
            <w:tcMar>
              <w:top w:w="100.0" w:type="dxa"/>
              <w:left w:w="100.0" w:type="dxa"/>
              <w:bottom w:w="100.0" w:type="dxa"/>
              <w:right w:w="100.0" w:type="dxa"/>
            </w:tcMa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9">
            <w:pPr>
              <w:spacing w:after="60" w:before="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circulation des données, incluant en particulier les étapes éventuelles d’appariement des différentes bases de données et les différents flux de données entre acteurs, est décrite de façon à pouvoir suivre le cheminement des données depuis la base source jusqu’à l’espace d’analyse en étant extérieur au projet.</w:t>
            </w:r>
          </w:p>
        </w:tc>
        <w:tc>
          <w:tcPr>
            <w:shd w:fill="auto" w:val="clear"/>
            <w:tcMar>
              <w:top w:w="100.0" w:type="dxa"/>
              <w:left w:w="100.0" w:type="dxa"/>
              <w:bottom w:w="100.0" w:type="dxa"/>
              <w:right w:w="100.0" w:type="dxa"/>
            </w:tcMar>
          </w:tcPr>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60" w:before="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cas d’appariement entre plusieurs bases de données, les variables d’appariement sont identifiées.</w:t>
            </w:r>
          </w:p>
        </w:tc>
        <w:tc>
          <w:tcPr>
            <w:shd w:fill="auto" w:val="clear"/>
            <w:tcMar>
              <w:top w:w="100.0" w:type="dxa"/>
              <w:left w:w="100.0" w:type="dxa"/>
              <w:bottom w:w="100.0" w:type="dxa"/>
              <w:right w:w="100.0" w:type="dxa"/>
            </w:tcMar>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60" w:before="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Les biais potentiels des résultats sont identifiés.</w:t>
            </w:r>
          </w:p>
        </w:tc>
        <w:tc>
          <w:tcPr>
            <w:shd w:fill="auto" w:val="clear"/>
            <w:tcMar>
              <w:top w:w="100.0" w:type="dxa"/>
              <w:left w:w="100.0" w:type="dxa"/>
              <w:bottom w:w="100.0" w:type="dxa"/>
              <w:right w:w="100.0" w:type="dxa"/>
            </w:tcMar>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60" w:before="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durée d’accès</w:t>
            </w:r>
            <w:r w:rsidDel="00000000" w:rsidR="00000000" w:rsidRPr="00000000">
              <w:rPr>
                <w:rFonts w:ascii="Tahoma" w:cs="Tahoma" w:eastAsia="Tahoma" w:hAnsi="Tahoma"/>
                <w:sz w:val="22"/>
                <w:szCs w:val="22"/>
                <w:vertAlign w:val="superscript"/>
              </w:rPr>
              <w:footnoteReference w:customMarkFollows="0" w:id="3"/>
            </w:r>
            <w:r w:rsidDel="00000000" w:rsidR="00000000" w:rsidRPr="00000000">
              <w:rPr>
                <w:rFonts w:ascii="Tahoma" w:cs="Tahoma" w:eastAsia="Tahoma" w:hAnsi="Tahoma"/>
                <w:sz w:val="22"/>
                <w:szCs w:val="22"/>
                <w:rtl w:val="0"/>
              </w:rPr>
              <w:t xml:space="preserve"> aux données est indiquée (nombre d’années).</w:t>
            </w:r>
          </w:p>
        </w:tc>
        <w:tc>
          <w:tcPr>
            <w:shd w:fill="auto" w:val="clear"/>
            <w:tcMar>
              <w:top w:w="100.0" w:type="dxa"/>
              <w:left w:w="100.0" w:type="dxa"/>
              <w:bottom w:w="100.0" w:type="dxa"/>
              <w:right w:w="100.0" w:type="dxa"/>
            </w:tcMa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60" w:before="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Les expertises nécessaires pour mener l’étude et traiter les données sont indiquées (formation aux données du SNDS, expérience antérieure dans le traitement des données sollicitées).</w:t>
            </w:r>
          </w:p>
        </w:tc>
        <w:tc>
          <w:tcPr>
            <w:shd w:fill="auto" w:val="clear"/>
            <w:tcMar>
              <w:top w:w="100.0" w:type="dxa"/>
              <w:left w:w="100.0" w:type="dxa"/>
              <w:bottom w:w="100.0" w:type="dxa"/>
              <w:right w:w="100.0" w:type="dxa"/>
            </w:tcMar>
          </w:tcPr>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60" w:before="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Les grandes étapes du projet sont décrites dans un calendrier réaliste.</w:t>
            </w:r>
          </w:p>
        </w:tc>
        <w:tc>
          <w:tcPr>
            <w:shd w:fill="auto" w:val="clear"/>
            <w:tcMar>
              <w:top w:w="100.0" w:type="dxa"/>
              <w:left w:w="100.0" w:type="dxa"/>
              <w:bottom w:w="100.0" w:type="dxa"/>
              <w:right w:w="100.0" w:type="dxa"/>
            </w:tcMar>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B">
            <w:pPr>
              <w:spacing w:after="60" w:before="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durée de conservation</w:t>
            </w:r>
            <w:r w:rsidDel="00000000" w:rsidR="00000000" w:rsidRPr="00000000">
              <w:rPr>
                <w:rFonts w:ascii="Tahoma" w:cs="Tahoma" w:eastAsia="Tahoma" w:hAnsi="Tahoma"/>
                <w:sz w:val="22"/>
                <w:szCs w:val="22"/>
                <w:vertAlign w:val="superscript"/>
              </w:rPr>
              <w:footnoteReference w:customMarkFollows="0" w:id="4"/>
            </w:r>
            <w:r w:rsidDel="00000000" w:rsidR="00000000" w:rsidRPr="00000000">
              <w:rPr>
                <w:rFonts w:ascii="Tahoma" w:cs="Tahoma" w:eastAsia="Tahoma" w:hAnsi="Tahoma"/>
                <w:sz w:val="22"/>
                <w:szCs w:val="22"/>
                <w:rtl w:val="0"/>
              </w:rPr>
              <w:t xml:space="preserve"> des données est indiquée (en nombre d’années).</w:t>
            </w:r>
          </w:p>
        </w:tc>
        <w:tc>
          <w:tcPr>
            <w:shd w:fill="auto" w:val="clear"/>
            <w:tcMar>
              <w:top w:w="100.0" w:type="dxa"/>
              <w:left w:w="100.0" w:type="dxa"/>
              <w:bottom w:w="100.0" w:type="dxa"/>
              <w:right w:w="100.0" w:type="dxa"/>
            </w:tcMar>
          </w:tcPr>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after="60" w:before="60" w:lineRule="auto"/>
              <w:ind w:left="-423" w:firstLine="0"/>
              <w:jc w:val="center"/>
              <w:rPr>
                <w:rFonts w:ascii="Tahoma" w:cs="Tahoma" w:eastAsia="Tahoma" w:hAnsi="Tahoma"/>
                <w:sz w:val="22"/>
                <w:szCs w:val="22"/>
              </w:rPr>
            </w:pPr>
            <w:r w:rsidDel="00000000" w:rsidR="00000000" w:rsidRPr="00000000">
              <w:rPr>
                <w:rtl w:val="0"/>
              </w:rPr>
            </w:r>
          </w:p>
        </w:tc>
      </w:tr>
    </w:tbl>
    <w:p w:rsidR="00000000" w:rsidDel="00000000" w:rsidP="00000000" w:rsidRDefault="00000000" w:rsidRPr="00000000" w14:paraId="0000005E">
      <w:pPr>
        <w:keepNext w:val="1"/>
        <w:keepLines w:val="1"/>
        <w:pBdr>
          <w:top w:space="0" w:sz="0" w:val="nil"/>
          <w:left w:space="0" w:sz="0" w:val="nil"/>
          <w:bottom w:space="0" w:sz="0" w:val="nil"/>
          <w:right w:space="0" w:sz="0" w:val="nil"/>
          <w:between w:space="0" w:sz="0" w:val="nil"/>
        </w:pBdr>
        <w:spacing w:after="60" w:before="60" w:lineRule="auto"/>
        <w:rPr>
          <w:rFonts w:ascii="Tahoma" w:cs="Tahoma" w:eastAsia="Tahoma" w:hAnsi="Tahoma"/>
          <w:color w:val="007fa1"/>
          <w:sz w:val="22"/>
          <w:szCs w:val="22"/>
        </w:rPr>
      </w:pPr>
      <w:r w:rsidDel="00000000" w:rsidR="00000000" w:rsidRPr="00000000">
        <w:rPr>
          <w:rtl w:val="0"/>
        </w:rPr>
      </w:r>
    </w:p>
    <w:p w:rsidR="00000000" w:rsidDel="00000000" w:rsidP="00000000" w:rsidRDefault="00000000" w:rsidRPr="00000000" w14:paraId="0000005F">
      <w:pPr>
        <w:keepNext w:val="1"/>
        <w:keepLines w:val="1"/>
        <w:pBdr>
          <w:top w:space="0" w:sz="0" w:val="nil"/>
          <w:left w:space="0" w:sz="0" w:val="nil"/>
          <w:bottom w:space="0" w:sz="0" w:val="nil"/>
          <w:right w:space="0" w:sz="0" w:val="nil"/>
          <w:between w:space="0" w:sz="0" w:val="nil"/>
        </w:pBdr>
        <w:spacing w:after="60" w:before="60" w:lineRule="auto"/>
        <w:rPr>
          <w:rFonts w:ascii="Tahoma" w:cs="Tahoma" w:eastAsia="Tahoma" w:hAnsi="Tahoma"/>
          <w:color w:val="036287"/>
        </w:rPr>
      </w:pPr>
      <w:r w:rsidDel="00000000" w:rsidR="00000000" w:rsidRPr="00000000">
        <w:rPr>
          <w:rtl w:val="0"/>
        </w:rPr>
      </w:r>
    </w:p>
    <w:tbl>
      <w:tblPr>
        <w:tblStyle w:val="Table4"/>
        <w:tblW w:w="8789.0" w:type="dxa"/>
        <w:jc w:val="left"/>
        <w:tblInd w:w="-15.0" w:type="dxa"/>
        <w:tblBorders>
          <w:top w:color="036287" w:space="0" w:sz="12" w:val="single"/>
          <w:left w:color="036287" w:space="0" w:sz="12" w:val="single"/>
          <w:bottom w:color="036287" w:space="0" w:sz="12" w:val="single"/>
          <w:right w:color="036287" w:space="0" w:sz="12" w:val="single"/>
          <w:insideH w:color="036287" w:space="0" w:sz="12" w:val="single"/>
          <w:insideV w:color="036287" w:space="0" w:sz="12" w:val="single"/>
        </w:tblBorders>
        <w:tblLayout w:type="fixed"/>
        <w:tblLook w:val="0600"/>
      </w:tblPr>
      <w:tblGrid>
        <w:gridCol w:w="7275"/>
        <w:gridCol w:w="720"/>
        <w:gridCol w:w="794"/>
        <w:tblGridChange w:id="0">
          <w:tblGrid>
            <w:gridCol w:w="7275"/>
            <w:gridCol w:w="720"/>
            <w:gridCol w:w="794"/>
          </w:tblGrid>
        </w:tblGridChange>
      </w:tblGrid>
    </w:tbl>
    <w:p w:rsidR="00000000" w:rsidDel="00000000" w:rsidP="00000000" w:rsidRDefault="00000000" w:rsidRPr="00000000" w14:paraId="00000060">
      <w:pPr>
        <w:keepNext w:val="1"/>
        <w:keepLines w:val="1"/>
        <w:pBdr>
          <w:top w:space="0" w:sz="0" w:val="nil"/>
          <w:left w:space="0" w:sz="0" w:val="nil"/>
          <w:bottom w:space="0" w:sz="0" w:val="nil"/>
          <w:right w:space="0" w:sz="0" w:val="nil"/>
          <w:between w:space="0" w:sz="0" w:val="nil"/>
        </w:pBdr>
        <w:tabs>
          <w:tab w:val="left" w:leader="none" w:pos="1005"/>
        </w:tabs>
        <w:spacing w:after="60" w:before="60" w:lineRule="auto"/>
        <w:rPr>
          <w:rFonts w:ascii="Tahoma" w:cs="Tahoma" w:eastAsia="Tahoma" w:hAnsi="Tahoma"/>
          <w:b w:val="1"/>
          <w:bCs w:val="1"/>
          <w:color w:val="036287"/>
          <w:sz w:val="22"/>
          <w:szCs w:val="22"/>
        </w:rPr>
      </w:pPr>
      <w:r w:rsidDel="00000000" w:rsidR="00000000" w:rsidRPr="00000000">
        <w:rPr>
          <w:rtl w:val="0"/>
        </w:rPr>
      </w:r>
    </w:p>
    <w:p w:rsidR="00000000" w:rsidDel="00000000" w:rsidP="00000000" w:rsidRDefault="00000000" w:rsidRPr="00000000" w14:paraId="00000061">
      <w:pPr>
        <w:rPr>
          <w:rFonts w:ascii="Tahoma" w:cs="Tahoma" w:eastAsia="Tahoma" w:hAnsi="Tahoma"/>
          <w:b w:val="1"/>
          <w:bCs w:val="1"/>
          <w:color w:val="036287"/>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62">
      <w:pPr>
        <w:keepNext w:val="1"/>
        <w:keepLines w:val="1"/>
        <w:pBdr>
          <w:top w:space="0" w:sz="0" w:val="nil"/>
          <w:left w:space="0" w:sz="0" w:val="nil"/>
          <w:bottom w:space="0" w:sz="0" w:val="nil"/>
          <w:right w:space="0" w:sz="0" w:val="nil"/>
          <w:between w:space="0" w:sz="0" w:val="nil"/>
        </w:pBdr>
        <w:tabs>
          <w:tab w:val="left" w:leader="none" w:pos="1005"/>
        </w:tabs>
        <w:spacing w:after="60" w:before="60" w:lineRule="auto"/>
        <w:rPr>
          <w:rFonts w:ascii="Tahoma" w:cs="Tahoma" w:eastAsia="Tahoma" w:hAnsi="Tahoma"/>
          <w:b w:val="1"/>
          <w:bCs w:val="1"/>
          <w:color w:val="036287"/>
          <w:sz w:val="22"/>
          <w:szCs w:val="22"/>
        </w:rPr>
      </w:pPr>
      <w:r w:rsidDel="00000000" w:rsidR="00000000" w:rsidRPr="00000000">
        <w:rPr>
          <w:rFonts w:ascii="Tahoma" w:cs="Tahoma" w:eastAsia="Tahoma" w:hAnsi="Tahoma"/>
          <w:b w:val="1"/>
          <w:bCs w:val="1"/>
          <w:color w:val="036287"/>
          <w:sz w:val="22"/>
          <w:szCs w:val="22"/>
          <w:rtl w:val="0"/>
        </w:rPr>
        <w:t xml:space="preserve">Besoin d’aide pour aller plus loin ?</w:t>
      </w:r>
    </w:p>
    <w:p w:rsidR="00000000" w:rsidDel="00000000" w:rsidP="00000000" w:rsidRDefault="00000000" w:rsidRPr="00000000" w14:paraId="00000063">
      <w:pPr>
        <w:widowControl w:val="0"/>
        <w:spacing w:after="60" w:before="60" w:lineRule="auto"/>
        <w:jc w:val="both"/>
        <w:rPr>
          <w:rFonts w:ascii="Tahoma" w:cs="Tahoma" w:eastAsia="Tahoma" w:hAnsi="Tahoma"/>
          <w:color w:val="322c2f"/>
          <w:sz w:val="22"/>
          <w:szCs w:val="22"/>
        </w:rPr>
      </w:pPr>
      <w:r w:rsidDel="00000000" w:rsidR="00000000" w:rsidRPr="00000000">
        <w:rPr>
          <w:rtl w:val="0"/>
        </w:rPr>
      </w:r>
    </w:p>
    <w:p w:rsidR="00000000" w:rsidDel="00000000" w:rsidP="00000000" w:rsidRDefault="00000000" w:rsidRPr="00000000" w14:paraId="00000064">
      <w:pPr>
        <w:widowControl w:val="0"/>
        <w:spacing w:after="60" w:before="60" w:lineRule="auto"/>
        <w:jc w:val="both"/>
        <w:rPr>
          <w:rFonts w:ascii="Tahoma" w:cs="Tahoma" w:eastAsia="Tahoma" w:hAnsi="Tahoma"/>
          <w:color w:val="322c2f"/>
          <w:sz w:val="22"/>
          <w:szCs w:val="22"/>
        </w:rPr>
      </w:pPr>
      <w:r w:rsidDel="00000000" w:rsidR="00000000" w:rsidRPr="00000000">
        <w:rPr>
          <w:rFonts w:ascii="Tahoma" w:cs="Tahoma" w:eastAsia="Tahoma" w:hAnsi="Tahoma"/>
          <w:color w:val="322c2f"/>
          <w:sz w:val="22"/>
          <w:szCs w:val="22"/>
          <w:rtl w:val="0"/>
        </w:rPr>
        <w:t xml:space="preserve">A toutes les étapes de ma démarche, je peux :</w:t>
      </w:r>
    </w:p>
    <w:p w:rsidR="00000000" w:rsidDel="00000000" w:rsidP="00000000" w:rsidRDefault="00000000" w:rsidRPr="00000000" w14:paraId="00000065">
      <w:pPr>
        <w:widowControl w:val="0"/>
        <w:numPr>
          <w:ilvl w:val="0"/>
          <w:numId w:val="4"/>
        </w:numPr>
        <w:spacing w:after="60" w:before="60" w:lineRule="auto"/>
        <w:ind w:left="425" w:hanging="360"/>
        <w:rPr>
          <w:rFonts w:ascii="Tahoma" w:cs="Tahoma" w:eastAsia="Tahoma" w:hAnsi="Tahoma"/>
          <w:sz w:val="22"/>
          <w:szCs w:val="22"/>
        </w:rPr>
      </w:pPr>
      <w:r w:rsidDel="00000000" w:rsidR="00000000" w:rsidRPr="00000000">
        <w:rPr>
          <w:rFonts w:ascii="Tahoma" w:cs="Tahoma" w:eastAsia="Tahoma" w:hAnsi="Tahoma"/>
          <w:color w:val="322c2f"/>
          <w:sz w:val="22"/>
          <w:szCs w:val="22"/>
          <w:rtl w:val="0"/>
        </w:rPr>
        <w:t xml:space="preserve">Consulter le</w:t>
      </w:r>
      <w:hyperlink r:id="rId14">
        <w:r w:rsidDel="00000000" w:rsidR="00000000" w:rsidRPr="00000000">
          <w:rPr>
            <w:rFonts w:ascii="Tahoma" w:cs="Tahoma" w:eastAsia="Tahoma" w:hAnsi="Tahoma"/>
            <w:color w:val="1155cc"/>
            <w:sz w:val="22"/>
            <w:szCs w:val="22"/>
            <w:u w:val="single"/>
            <w:rtl w:val="0"/>
          </w:rPr>
          <w:t xml:space="preserve"> répertoire des projets</w:t>
        </w:r>
      </w:hyperlink>
      <w:r w:rsidDel="00000000" w:rsidR="00000000" w:rsidRPr="00000000">
        <w:rPr>
          <w:rFonts w:ascii="Tahoma" w:cs="Tahoma" w:eastAsia="Tahoma" w:hAnsi="Tahoma"/>
          <w:color w:val="322c2f"/>
          <w:sz w:val="22"/>
          <w:szCs w:val="22"/>
          <w:rtl w:val="0"/>
        </w:rPr>
        <w:t xml:space="preserve"> pour avoir une idée de ce qui est réalisé à partir des données</w:t>
      </w:r>
      <w:r w:rsidDel="00000000" w:rsidR="00000000" w:rsidRPr="00000000">
        <w:rPr>
          <w:rtl w:val="0"/>
        </w:rPr>
      </w:r>
    </w:p>
    <w:p w:rsidR="00000000" w:rsidDel="00000000" w:rsidP="00000000" w:rsidRDefault="00000000" w:rsidRPr="00000000" w14:paraId="00000066">
      <w:pPr>
        <w:widowControl w:val="0"/>
        <w:numPr>
          <w:ilvl w:val="0"/>
          <w:numId w:val="4"/>
        </w:numPr>
        <w:spacing w:after="60" w:before="60" w:lineRule="auto"/>
        <w:ind w:left="425" w:hanging="360"/>
        <w:rPr>
          <w:rFonts w:ascii="Tahoma" w:cs="Tahoma" w:eastAsia="Tahoma" w:hAnsi="Tahoma"/>
          <w:sz w:val="22"/>
          <w:szCs w:val="22"/>
        </w:rPr>
      </w:pPr>
      <w:r w:rsidDel="00000000" w:rsidR="00000000" w:rsidRPr="00000000">
        <w:rPr>
          <w:rFonts w:ascii="Tahoma" w:cs="Tahoma" w:eastAsia="Tahoma" w:hAnsi="Tahoma"/>
          <w:color w:val="322c2f"/>
          <w:sz w:val="22"/>
          <w:szCs w:val="22"/>
          <w:rtl w:val="0"/>
        </w:rPr>
        <w:t xml:space="preserve">Faite appel à la </w:t>
      </w:r>
      <w:hyperlink r:id="rId15">
        <w:r w:rsidDel="00000000" w:rsidR="00000000" w:rsidRPr="00000000">
          <w:rPr>
            <w:rFonts w:ascii="Tahoma" w:cs="Tahoma" w:eastAsia="Tahoma" w:hAnsi="Tahoma"/>
            <w:color w:val="1155cc"/>
            <w:sz w:val="22"/>
            <w:szCs w:val="22"/>
            <w:u w:val="single"/>
            <w:rtl w:val="0"/>
          </w:rPr>
          <w:t xml:space="preserve">communauté </w:t>
        </w:r>
      </w:hyperlink>
      <w:r w:rsidDel="00000000" w:rsidR="00000000" w:rsidRPr="00000000">
        <w:rPr>
          <w:rtl w:val="0"/>
        </w:rPr>
      </w:r>
    </w:p>
    <w:p w:rsidR="00000000" w:rsidDel="00000000" w:rsidP="00000000" w:rsidRDefault="00000000" w:rsidRPr="00000000" w14:paraId="00000067">
      <w:pPr>
        <w:widowControl w:val="0"/>
        <w:numPr>
          <w:ilvl w:val="0"/>
          <w:numId w:val="4"/>
        </w:numPr>
        <w:spacing w:after="60" w:before="60" w:lineRule="auto"/>
        <w:ind w:left="425" w:hanging="360"/>
        <w:rPr>
          <w:rFonts w:ascii="Tahoma" w:cs="Tahoma" w:eastAsia="Tahoma" w:hAnsi="Tahoma"/>
          <w:color w:val="322c2f"/>
          <w:sz w:val="22"/>
          <w:szCs w:val="22"/>
        </w:rPr>
      </w:pPr>
      <w:r w:rsidDel="00000000" w:rsidR="00000000" w:rsidRPr="00000000">
        <w:rPr>
          <w:rFonts w:ascii="Tahoma" w:cs="Tahoma" w:eastAsia="Tahoma" w:hAnsi="Tahoma"/>
          <w:color w:val="322c2f"/>
          <w:sz w:val="22"/>
          <w:szCs w:val="22"/>
          <w:rtl w:val="0"/>
        </w:rPr>
        <w:t xml:space="preserve">Participer aux </w:t>
      </w:r>
      <w:hyperlink r:id="rId16">
        <w:r w:rsidDel="00000000" w:rsidR="00000000" w:rsidRPr="00000000">
          <w:rPr>
            <w:rFonts w:ascii="Tahoma" w:cs="Tahoma" w:eastAsia="Tahoma" w:hAnsi="Tahoma"/>
            <w:color w:val="0563c1"/>
            <w:sz w:val="22"/>
            <w:szCs w:val="22"/>
            <w:u w:val="single"/>
            <w:rtl w:val="0"/>
          </w:rPr>
          <w:t xml:space="preserve">formations</w:t>
        </w:r>
      </w:hyperlink>
      <w:r w:rsidDel="00000000" w:rsidR="00000000" w:rsidRPr="00000000">
        <w:rPr>
          <w:rFonts w:ascii="Tahoma" w:cs="Tahoma" w:eastAsia="Tahoma" w:hAnsi="Tahoma"/>
          <w:color w:val="322c2f"/>
          <w:sz w:val="22"/>
          <w:szCs w:val="22"/>
          <w:rtl w:val="0"/>
        </w:rPr>
        <w:t xml:space="preserve"> proposées par le HDH en lien avec différents partenaires pour avoir un premier niveau d'information sur le SNDS historique et aux </w:t>
      </w:r>
      <w:hyperlink r:id="rId17">
        <w:r w:rsidDel="00000000" w:rsidR="00000000" w:rsidRPr="00000000">
          <w:rPr>
            <w:rFonts w:ascii="Tahoma" w:cs="Tahoma" w:eastAsia="Tahoma" w:hAnsi="Tahoma"/>
            <w:color w:val="322c2f"/>
            <w:sz w:val="22"/>
            <w:szCs w:val="22"/>
            <w:rtl w:val="0"/>
          </w:rPr>
          <w:t xml:space="preserve">meet-up</w:t>
        </w:r>
      </w:hyperlink>
      <w:r w:rsidDel="00000000" w:rsidR="00000000" w:rsidRPr="00000000">
        <w:rPr>
          <w:rFonts w:ascii="Tahoma" w:cs="Tahoma" w:eastAsia="Tahoma" w:hAnsi="Tahoma"/>
          <w:color w:val="322c2f"/>
          <w:sz w:val="22"/>
          <w:szCs w:val="22"/>
          <w:rtl w:val="0"/>
        </w:rPr>
        <w:t xml:space="preserve"> pour échanger avec tout type de porteurs de projet</w:t>
      </w:r>
    </w:p>
    <w:p w:rsidR="00000000" w:rsidDel="00000000" w:rsidP="00000000" w:rsidRDefault="00000000" w:rsidRPr="00000000" w14:paraId="00000068">
      <w:pPr>
        <w:widowControl w:val="0"/>
        <w:numPr>
          <w:ilvl w:val="0"/>
          <w:numId w:val="4"/>
        </w:numPr>
        <w:spacing w:after="60" w:before="60" w:lineRule="auto"/>
        <w:ind w:left="425" w:hanging="360"/>
        <w:rPr>
          <w:rFonts w:ascii="Tahoma" w:cs="Tahoma" w:eastAsia="Tahoma" w:hAnsi="Tahoma"/>
          <w:sz w:val="22"/>
          <w:szCs w:val="22"/>
        </w:rPr>
      </w:pPr>
      <w:r w:rsidDel="00000000" w:rsidR="00000000" w:rsidRPr="00000000">
        <w:rPr>
          <w:rFonts w:ascii="Tahoma" w:cs="Tahoma" w:eastAsia="Tahoma" w:hAnsi="Tahoma"/>
          <w:color w:val="322c2f"/>
          <w:sz w:val="22"/>
          <w:szCs w:val="22"/>
          <w:rtl w:val="0"/>
        </w:rPr>
        <w:t xml:space="preserve">Me référer à la </w:t>
      </w:r>
      <w:hyperlink r:id="rId18">
        <w:r w:rsidDel="00000000" w:rsidR="00000000" w:rsidRPr="00000000">
          <w:rPr>
            <w:rFonts w:ascii="Tahoma" w:cs="Tahoma" w:eastAsia="Tahoma" w:hAnsi="Tahoma"/>
            <w:color w:val="0563c1"/>
            <w:sz w:val="22"/>
            <w:szCs w:val="22"/>
            <w:u w:val="single"/>
            <w:rtl w:val="0"/>
          </w:rPr>
          <w:t xml:space="preserve">documentation collaborative</w:t>
        </w:r>
      </w:hyperlink>
      <w:r w:rsidDel="00000000" w:rsidR="00000000" w:rsidRPr="00000000">
        <w:rPr>
          <w:rFonts w:ascii="Tahoma" w:cs="Tahoma" w:eastAsia="Tahoma" w:hAnsi="Tahoma"/>
          <w:color w:val="322c2f"/>
          <w:sz w:val="22"/>
          <w:szCs w:val="22"/>
          <w:rtl w:val="0"/>
        </w:rPr>
        <w:t xml:space="preserve"> ou utiliser un des programmes partagés par la communauté</w:t>
      </w:r>
      <w:r w:rsidDel="00000000" w:rsidR="00000000" w:rsidRPr="00000000">
        <w:rPr>
          <w:rtl w:val="0"/>
        </w:rPr>
      </w:r>
    </w:p>
    <w:p w:rsidR="00000000" w:rsidDel="00000000" w:rsidP="00000000" w:rsidRDefault="00000000" w:rsidRPr="00000000" w14:paraId="00000069">
      <w:pPr>
        <w:widowControl w:val="0"/>
        <w:numPr>
          <w:ilvl w:val="0"/>
          <w:numId w:val="4"/>
        </w:numPr>
        <w:spacing w:after="60" w:before="60" w:lineRule="auto"/>
        <w:ind w:left="425" w:hanging="360"/>
        <w:rPr>
          <w:rFonts w:ascii="Tahoma" w:cs="Tahoma" w:eastAsia="Tahoma" w:hAnsi="Tahoma"/>
          <w:sz w:val="22"/>
          <w:szCs w:val="22"/>
        </w:rPr>
      </w:pPr>
      <w:r w:rsidDel="00000000" w:rsidR="00000000" w:rsidRPr="00000000">
        <w:rPr>
          <w:rFonts w:ascii="Tahoma" w:cs="Tahoma" w:eastAsia="Tahoma" w:hAnsi="Tahoma"/>
          <w:color w:val="322c2f"/>
          <w:sz w:val="22"/>
          <w:szCs w:val="22"/>
          <w:rtl w:val="0"/>
        </w:rPr>
        <w:t xml:space="preserve">Consulter le </w:t>
      </w:r>
      <w:hyperlink r:id="rId19">
        <w:r w:rsidDel="00000000" w:rsidR="00000000" w:rsidRPr="00000000">
          <w:rPr>
            <w:rFonts w:ascii="Tahoma" w:cs="Tahoma" w:eastAsia="Tahoma" w:hAnsi="Tahoma"/>
            <w:color w:val="0563c1"/>
            <w:sz w:val="22"/>
            <w:szCs w:val="22"/>
            <w:u w:val="single"/>
            <w:rtl w:val="0"/>
          </w:rPr>
          <w:t xml:space="preserve">starter kit </w:t>
        </w:r>
      </w:hyperlink>
      <w:r w:rsidDel="00000000" w:rsidR="00000000" w:rsidRPr="00000000">
        <w:rPr>
          <w:rFonts w:ascii="Tahoma" w:cs="Tahoma" w:eastAsia="Tahoma" w:hAnsi="Tahoma"/>
          <w:color w:val="322c2f"/>
          <w:sz w:val="22"/>
          <w:szCs w:val="22"/>
          <w:rtl w:val="0"/>
        </w:rPr>
        <w:t xml:space="preserve">présent sur le site du Health Data Hub</w:t>
      </w:r>
      <w:r w:rsidDel="00000000" w:rsidR="00000000" w:rsidRPr="00000000">
        <w:rPr>
          <w:rtl w:val="0"/>
        </w:rPr>
      </w:r>
    </w:p>
    <w:p w:rsidR="00000000" w:rsidDel="00000000" w:rsidP="00000000" w:rsidRDefault="00000000" w:rsidRPr="00000000" w14:paraId="0000006A">
      <w:pPr>
        <w:widowControl w:val="0"/>
        <w:numPr>
          <w:ilvl w:val="0"/>
          <w:numId w:val="4"/>
        </w:numPr>
        <w:spacing w:after="60" w:before="60" w:lineRule="auto"/>
        <w:ind w:left="425"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Contacter le </w:t>
      </w:r>
      <w:hyperlink r:id="rId20">
        <w:r w:rsidDel="00000000" w:rsidR="00000000" w:rsidRPr="00000000">
          <w:rPr>
            <w:rFonts w:ascii="Tahoma" w:cs="Tahoma" w:eastAsia="Tahoma" w:hAnsi="Tahoma"/>
            <w:color w:val="1155cc"/>
            <w:sz w:val="22"/>
            <w:szCs w:val="22"/>
            <w:u w:val="single"/>
            <w:rtl w:val="0"/>
          </w:rPr>
          <w:t xml:space="preserve">HDH</w:t>
        </w:r>
      </w:hyperlink>
      <w:r w:rsidDel="00000000" w:rsidR="00000000" w:rsidRPr="00000000">
        <w:rPr>
          <w:rtl w:val="0"/>
        </w:rPr>
      </w:r>
    </w:p>
    <w:p w:rsidR="00000000" w:rsidDel="00000000" w:rsidP="00000000" w:rsidRDefault="00000000" w:rsidRPr="00000000" w14:paraId="0000006B">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C">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D">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E">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F">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70">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71">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72">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73">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74">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75">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76">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77">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78">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79">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7A">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7B">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7C">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7D">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7E">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7F">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0">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1">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2">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3">
      <w:pPr>
        <w:tabs>
          <w:tab w:val="left" w:leader="none" w:pos="6792"/>
        </w:tabs>
        <w:rPr>
          <w:rFonts w:ascii="Tahoma" w:cs="Tahoma" w:eastAsia="Tahoma" w:hAnsi="Tahoma"/>
          <w:sz w:val="22"/>
          <w:szCs w:val="22"/>
        </w:rPr>
      </w:pPr>
      <w:r w:rsidDel="00000000" w:rsidR="00000000" w:rsidRPr="00000000">
        <w:rPr>
          <w:rFonts w:ascii="Tahoma" w:cs="Tahoma" w:eastAsia="Tahoma" w:hAnsi="Tahoma"/>
          <w:sz w:val="22"/>
          <w:szCs w:val="22"/>
          <w:rtl w:val="0"/>
        </w:rPr>
        <w:tab/>
      </w:r>
    </w:p>
    <w:p w:rsidR="00000000" w:rsidDel="00000000" w:rsidP="00000000" w:rsidRDefault="00000000" w:rsidRPr="00000000" w14:paraId="00000084">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5">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6">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7">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8">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9">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A">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B">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C">
      <w:pPr>
        <w:jc w:val="center"/>
        <w:rPr>
          <w:rFonts w:ascii="Tahoma" w:cs="Tahoma" w:eastAsia="Tahoma" w:hAnsi="Tahoma"/>
          <w:sz w:val="22"/>
          <w:szCs w:val="22"/>
        </w:rPr>
      </w:pPr>
      <w:r w:rsidDel="00000000" w:rsidR="00000000" w:rsidRPr="00000000">
        <w:rPr>
          <w:rtl w:val="0"/>
        </w:rPr>
      </w:r>
    </w:p>
    <w:sectPr>
      <w:type w:val="nextPage"/>
      <w:pgSz w:h="16840" w:w="11900" w:orient="portrait"/>
      <w:pgMar w:bottom="1417" w:top="1700" w:left="1417" w:right="1417" w:header="720" w:footer="11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Unicode MS"/>
  <w:font w:name="Courier New"/>
  <w:font w:name="Tahoma">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leader="none" w:pos="4513"/>
        <w:tab w:val="right" w:leader="none" w:pos="9026"/>
      </w:tabs>
      <w:jc w:val="right"/>
      <w:rPr>
        <w:rFonts w:ascii="Tahoma" w:cs="Tahoma" w:eastAsia="Tahoma" w:hAnsi="Tahoma"/>
        <w:color w:val="000000"/>
        <w:sz w:val="16"/>
        <w:szCs w:val="16"/>
      </w:rPr>
    </w:pPr>
    <w:r w:rsidDel="00000000" w:rsidR="00000000" w:rsidRPr="00000000">
      <w:rPr>
        <w:rFonts w:ascii="Tahoma" w:cs="Tahoma" w:eastAsia="Tahoma" w:hAnsi="Tahoma"/>
        <w:color w:val="000000"/>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3">
    <w:pPr>
      <w:spacing w:after="200"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Checklist des éléments clés du protocole scientifique à destination des porteurs de projet</w:t>
      <w:br w:type="textWrapping"/>
      <w:t xml:space="preserve">Mise à jour : Juin 2026</w:t>
      <w:br w:type="textWrapping"/>
      <w:t xml:space="preserve">Modèle obligatoire pour les projets soumis au CESREES à compter de la séance du 12 novembre 2026</w:t>
    </w:r>
  </w:p>
  <w:p w:rsidR="00000000" w:rsidDel="00000000" w:rsidP="00000000" w:rsidRDefault="00000000" w:rsidRPr="00000000" w14:paraId="00000094">
    <w:pPr>
      <w:rPr>
        <w:rFonts w:ascii="Tahoma" w:cs="Tahoma" w:eastAsia="Tahoma" w:hAnsi="Tahoma"/>
        <w:color w:val="000000"/>
        <w:sz w:val="16"/>
        <w:szCs w:val="16"/>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8D">
      <w:pPr>
        <w:jc w:val="both"/>
        <w:rPr>
          <w:rFonts w:ascii="Tahoma" w:cs="Tahoma" w:eastAsia="Tahoma" w:hAnsi="Tahoma"/>
          <w:sz w:val="18"/>
          <w:szCs w:val="18"/>
        </w:rPr>
      </w:pPr>
      <w:r w:rsidDel="00000000" w:rsidR="00000000" w:rsidRPr="00000000">
        <w:rPr>
          <w:rStyle w:val="FootnoteReference"/>
          <w:vertAlign w:val="superscript"/>
        </w:rPr>
        <w:footnoteRef/>
      </w:r>
      <w:r w:rsidDel="00000000" w:rsidR="00000000" w:rsidRPr="00000000">
        <w:rPr>
          <w:rFonts w:ascii="Tahoma" w:cs="Tahoma" w:eastAsia="Tahoma" w:hAnsi="Tahoma"/>
          <w:sz w:val="18"/>
          <w:szCs w:val="18"/>
          <w:rtl w:val="0"/>
        </w:rPr>
        <w:t xml:space="preserve"> La MR-008 est une procédure simplifiée applicable aux recherches, études ou évaluations nécessitant l’accès à la base principale du SNDS par les organismes </w:t>
      </w:r>
      <w:r w:rsidDel="00000000" w:rsidR="00000000" w:rsidRPr="00000000">
        <w:rPr>
          <w:rFonts w:ascii="Tahoma" w:cs="Tahoma" w:eastAsia="Tahoma" w:hAnsi="Tahoma"/>
          <w:sz w:val="18"/>
          <w:szCs w:val="18"/>
          <w:u w:val="single"/>
          <w:rtl w:val="0"/>
        </w:rPr>
        <w:t xml:space="preserve">agissant dans le cadre de leurs intérêts légitimes</w:t>
      </w:r>
      <w:r w:rsidDel="00000000" w:rsidR="00000000" w:rsidRPr="00000000">
        <w:rPr>
          <w:rFonts w:ascii="Tahoma" w:cs="Tahoma" w:eastAsia="Tahoma" w:hAnsi="Tahoma"/>
          <w:sz w:val="18"/>
          <w:szCs w:val="18"/>
          <w:rtl w:val="0"/>
        </w:rPr>
        <w:t xml:space="preserve">. </w:t>
      </w:r>
    </w:p>
  </w:footnote>
  <w:footnote w:id="1">
    <w:p w:rsidR="00000000" w:rsidDel="00000000" w:rsidP="00000000" w:rsidRDefault="00000000" w:rsidRPr="00000000" w14:paraId="0000008E">
      <w:pPr>
        <w:jc w:val="both"/>
        <w:rPr>
          <w:rFonts w:ascii="Tahoma" w:cs="Tahoma" w:eastAsia="Tahoma" w:hAnsi="Tahoma"/>
          <w:sz w:val="18"/>
          <w:szCs w:val="18"/>
        </w:rPr>
      </w:pPr>
      <w:r w:rsidDel="00000000" w:rsidR="00000000" w:rsidRPr="00000000">
        <w:rPr>
          <w:rStyle w:val="FootnoteReference"/>
          <w:vertAlign w:val="superscript"/>
        </w:rPr>
        <w:footnoteRef/>
      </w:r>
      <w:r w:rsidDel="00000000" w:rsidR="00000000" w:rsidRPr="00000000">
        <w:rPr>
          <w:rFonts w:ascii="Tahoma" w:cs="Tahoma" w:eastAsia="Tahoma" w:hAnsi="Tahoma"/>
          <w:sz w:val="18"/>
          <w:szCs w:val="18"/>
          <w:rtl w:val="0"/>
        </w:rPr>
        <w:t xml:space="preserve"> La MR-007 est une procédure simplifiée applicable aux recherches, études ou évaluations nécessitant l’accès à la base principale du SNDS par les organismes </w:t>
      </w:r>
      <w:r w:rsidDel="00000000" w:rsidR="00000000" w:rsidRPr="00000000">
        <w:rPr>
          <w:rFonts w:ascii="Tahoma" w:cs="Tahoma" w:eastAsia="Tahoma" w:hAnsi="Tahoma"/>
          <w:sz w:val="18"/>
          <w:szCs w:val="18"/>
          <w:u w:val="single"/>
          <w:rtl w:val="0"/>
        </w:rPr>
        <w:t xml:space="preserve">agissant dans le cadre de leur mission d’intérêt public</w:t>
      </w:r>
      <w:r w:rsidDel="00000000" w:rsidR="00000000" w:rsidRPr="00000000">
        <w:rPr>
          <w:rFonts w:ascii="Tahoma" w:cs="Tahoma" w:eastAsia="Tahoma" w:hAnsi="Tahoma"/>
          <w:sz w:val="18"/>
          <w:szCs w:val="18"/>
          <w:rtl w:val="0"/>
        </w:rPr>
        <w:t xml:space="preserve">. </w:t>
      </w:r>
    </w:p>
  </w:footnote>
  <w:footnote w:id="2">
    <w:p w:rsidR="00000000" w:rsidDel="00000000" w:rsidP="00000000" w:rsidRDefault="00000000" w:rsidRPr="00000000" w14:paraId="0000008F">
      <w:pPr>
        <w:jc w:val="both"/>
        <w:rPr>
          <w:rFonts w:ascii="Tahoma" w:cs="Tahoma" w:eastAsia="Tahoma" w:hAnsi="Tahoma"/>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sz w:val="18"/>
          <w:szCs w:val="18"/>
          <w:rtl w:val="0"/>
        </w:rPr>
        <w:t xml:space="preserve"> La MR-004 est une procédure simplifiée applicable aux recherches, études ou évaluations </w:t>
      </w:r>
      <w:r w:rsidDel="00000000" w:rsidR="00000000" w:rsidRPr="00000000">
        <w:rPr>
          <w:rFonts w:ascii="Tahoma" w:cs="Tahoma" w:eastAsia="Tahoma" w:hAnsi="Tahoma"/>
          <w:sz w:val="18"/>
          <w:szCs w:val="18"/>
          <w:u w:val="single"/>
          <w:rtl w:val="0"/>
        </w:rPr>
        <w:t xml:space="preserve">ne répondant pas à la définition d’une recherche impliquant la personne humaine</w:t>
      </w:r>
      <w:r w:rsidDel="00000000" w:rsidR="00000000" w:rsidRPr="00000000">
        <w:rPr>
          <w:rFonts w:ascii="Tahoma" w:cs="Tahoma" w:eastAsia="Tahoma" w:hAnsi="Tahoma"/>
          <w:sz w:val="18"/>
          <w:szCs w:val="18"/>
          <w:rtl w:val="0"/>
        </w:rPr>
        <w:t xml:space="preserve"> (études sur données prospectives ou rétrospectives)</w:t>
      </w:r>
      <w:r w:rsidDel="00000000" w:rsidR="00000000" w:rsidRPr="00000000">
        <w:rPr>
          <w:rFonts w:ascii="Tahoma" w:cs="Tahoma" w:eastAsia="Tahoma" w:hAnsi="Tahoma"/>
          <w:sz w:val="20"/>
          <w:szCs w:val="20"/>
          <w:rtl w:val="0"/>
        </w:rPr>
        <w:t xml:space="preserve">. </w:t>
      </w:r>
    </w:p>
  </w:footnote>
  <w:footnote w:id="3">
    <w:p w:rsidR="00000000" w:rsidDel="00000000" w:rsidP="00000000" w:rsidRDefault="00000000" w:rsidRPr="00000000" w14:paraId="00000090">
      <w:pPr>
        <w:pBdr>
          <w:top w:space="0" w:sz="0" w:val="nil"/>
          <w:left w:space="0" w:sz="0" w:val="nil"/>
          <w:bottom w:space="0" w:sz="0" w:val="nil"/>
          <w:right w:space="0" w:sz="0" w:val="nil"/>
          <w:between w:space="0" w:sz="0" w:val="nil"/>
        </w:pBdr>
        <w:jc w:val="both"/>
        <w:rPr>
          <w:rFonts w:ascii="Tahoma" w:cs="Tahoma" w:eastAsia="Tahoma" w:hAnsi="Tahoma"/>
          <w:color w:val="000000"/>
          <w:sz w:val="18"/>
          <w:szCs w:val="18"/>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18"/>
          <w:szCs w:val="18"/>
          <w:rtl w:val="0"/>
        </w:rPr>
        <w:t xml:space="preserve"> La durée d’accès correspond à la durée nécessaire pour réaliser l’étude. Concrètement, il s’agit de la période pendant laquelle les données seront à la disposition du porteur de projet. Cette durée est différente de la durée de conservation des données.</w:t>
      </w:r>
    </w:p>
  </w:footnote>
  <w:footnote w:id="4">
    <w:p w:rsidR="00000000" w:rsidDel="00000000" w:rsidP="00000000" w:rsidRDefault="00000000" w:rsidRPr="00000000" w14:paraId="00000095">
      <w:pPr>
        <w:jc w:val="both"/>
        <w:rPr>
          <w:rFonts w:ascii="Tahoma" w:cs="Tahoma" w:eastAsia="Tahoma" w:hAnsi="Tahoma"/>
          <w:sz w:val="18"/>
          <w:szCs w:val="18"/>
        </w:rPr>
      </w:pPr>
      <w:r w:rsidDel="00000000" w:rsidR="00000000" w:rsidRPr="00000000">
        <w:rPr>
          <w:rStyle w:val="FootnoteReference"/>
          <w:vertAlign w:val="superscript"/>
        </w:rPr>
        <w:footnoteRef/>
      </w:r>
      <w:r w:rsidDel="00000000" w:rsidR="00000000" w:rsidRPr="00000000">
        <w:rPr>
          <w:rFonts w:ascii="Tahoma" w:cs="Tahoma" w:eastAsia="Tahoma" w:hAnsi="Tahoma"/>
          <w:sz w:val="18"/>
          <w:szCs w:val="18"/>
          <w:rtl w:val="0"/>
        </w:rPr>
        <w:t xml:space="preserve"> La durée de conservation intervient une fois l’objectif de traitement des données atteint. Les données ne sont alors plus consultables par le porteur de projet mais elles sont conservées par l’hébergeur de données. Il s’agit généralement du délai de conservation des données après publication des résultats d’une étude. </w:t>
      </w:r>
    </w:p>
    <w:p w:rsidR="00000000" w:rsidDel="00000000" w:rsidP="00000000" w:rsidRDefault="00000000" w:rsidRPr="00000000" w14:paraId="00000096">
      <w:pPr>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La durée de conservation s’ajoute à la durée d’accès aux données.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leader="none" w:pos="4513"/>
        <w:tab w:val="right" w:leader="none" w:pos="9026"/>
      </w:tabs>
      <w:rPr>
        <w:color w:val="000000"/>
        <w:sz w:val="20"/>
        <w:szCs w:val="20"/>
      </w:rPr>
    </w:pPr>
    <w:r w:rsidDel="00000000" w:rsidR="00000000" w:rsidRPr="00000000">
      <w:rPr/>
      <w:drawing>
        <wp:anchor allowOverlap="1" behindDoc="0" distB="0" distT="0" distL="0" distR="0" hidden="0" layoutInCell="1" locked="0" relativeHeight="0" simplePos="0">
          <wp:simplePos x="0" y="0"/>
          <wp:positionH relativeFrom="page">
            <wp:posOffset>6645917</wp:posOffset>
          </wp:positionH>
          <wp:positionV relativeFrom="page">
            <wp:posOffset>35242</wp:posOffset>
          </wp:positionV>
          <wp:extent cx="972329" cy="891302"/>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rot="16200000">
                    <a:off x="0" y="0"/>
                    <a:ext cx="972329" cy="891302"/>
                  </a:xfrm>
                  <a:prstGeom prst="rect"/>
                  <a:ln/>
                </pic:spPr>
              </pic:pic>
            </a:graphicData>
          </a:graphic>
        </wp:anchor>
      </w:drawing>
    </w:r>
    <w:r w:rsidDel="00000000" w:rsidR="00000000" w:rsidRPr="00000000">
      <w:rPr>
        <w:color w:val="000000"/>
        <w:rtl w:val="0"/>
      </w:rPr>
      <w:tab/>
      <w:tab/>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-180974</wp:posOffset>
          </wp:positionV>
          <wp:extent cx="1410017" cy="575231"/>
          <wp:effectExtent b="0" l="0" r="0" t="0"/>
          <wp:wrapNone/>
          <wp:docPr id="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410017" cy="57523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f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rPr>
      <w:rFonts w:ascii="Calibri" w:cs="Calibri" w:eastAsia="Calibri" w:hAnsi="Calibri"/>
      <w:sz w:val="56"/>
      <w:szCs w:val="56"/>
    </w:rPr>
  </w:style>
  <w:style w:type="paragraph" w:styleId="Subtitle">
    <w:name w:val="Subtitle"/>
    <w:basedOn w:val="Normal"/>
    <w:next w:val="Normal"/>
    <w:pPr>
      <w:keepNext w:val="1"/>
      <w:keepLines w:val="1"/>
      <w:jc w:val="center"/>
    </w:pPr>
    <w:rPr>
      <w:rFonts w:ascii="Tahoma" w:cs="Tahoma" w:eastAsia="Tahoma" w:hAnsi="Tahoma"/>
      <w:b w:val="1"/>
      <w:bCs w:val="1"/>
      <w:color w:val="036287"/>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health-data-hub.fr/contact" TargetMode="External"/><Relationship Id="rId11" Type="http://schemas.openxmlformats.org/officeDocument/2006/relationships/hyperlink" Target="https://www.legifrance.gouv.fr/jorf/id/JORFTEXT000037187498" TargetMode="External"/><Relationship Id="rId10" Type="http://schemas.openxmlformats.org/officeDocument/2006/relationships/hyperlink" Target="https://www.legifrance.gouv.fr/jorf/id/JORFTEXT000048194078"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health-data-hub.fr/formations/snds-tech-001-formation-sur-les-donnees-du-snds-et-ses-modalites-dacces" TargetMode="External"/><Relationship Id="rId15" Type="http://schemas.openxmlformats.org/officeDocument/2006/relationships/hyperlink" Target="https://www.health-data-hub.fr/open-source" TargetMode="External"/><Relationship Id="rId14" Type="http://schemas.openxmlformats.org/officeDocument/2006/relationships/hyperlink" Target="https://www.health-data-hub.fr/projets" TargetMode="External"/><Relationship Id="rId17" Type="http://schemas.openxmlformats.org/officeDocument/2006/relationships/hyperlink" Target="https://www.meetup.com/fr-FR/Health-Data-Hub/" TargetMode="External"/><Relationship Id="rId16" Type="http://schemas.openxmlformats.org/officeDocument/2006/relationships/hyperlink" Target="https://www.health-data-hub.fr/formations" TargetMode="External"/><Relationship Id="rId5" Type="http://schemas.openxmlformats.org/officeDocument/2006/relationships/numbering" Target="numbering.xml"/><Relationship Id="rId19" Type="http://schemas.openxmlformats.org/officeDocument/2006/relationships/hyperlink" Target="https://www.health-data-hub.fr/starter-kit" TargetMode="External"/><Relationship Id="rId6" Type="http://schemas.openxmlformats.org/officeDocument/2006/relationships/styles" Target="styles.xml"/><Relationship Id="rId18" Type="http://schemas.openxmlformats.org/officeDocument/2006/relationships/hyperlink" Target="https://documentation-snds.health-data-hub.fr/" TargetMode="External"/><Relationship Id="rId7" Type="http://schemas.openxmlformats.org/officeDocument/2006/relationships/customXml" Target="../customXML/item1.xml"/><Relationship Id="rId8" Type="http://schemas.openxmlformats.org/officeDocument/2006/relationships/hyperlink" Target="https://www.legifrance.gouv.fr/jorf/id/JORFTEXT00004819411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EvpyTySCx7S7t+PBmSy0P7VR+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0x010100FDAA9F07A3B41246892D9ABCE4B145C7</vt:lpwstr>
  </property>
</Properties>
</file>