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30.0" w:type="dxa"/>
        <w:jc w:val="left"/>
        <w:tblInd w:w="-7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75"/>
        <w:gridCol w:w="7755"/>
        <w:tblGridChange w:id="0">
          <w:tblGrid>
            <w:gridCol w:w="2775"/>
            <w:gridCol w:w="7755"/>
          </w:tblGrid>
        </w:tblGridChange>
      </w:tblGrid>
      <w:tr>
        <w:trPr>
          <w:cantSplit w:val="0"/>
          <w:trHeight w:val="1021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tabs>
                <w:tab w:val="center" w:leader="none" w:pos="4513"/>
                <w:tab w:val="right" w:leader="none" w:pos="9026"/>
              </w:tabs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228408" cy="56946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408" cy="5694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3">
            <w:pPr>
              <w:ind w:right="-166"/>
              <w:jc w:val="center"/>
              <w:rPr>
                <w:rFonts w:ascii="Tahoma" w:cs="Tahoma" w:eastAsia="Tahoma" w:hAnsi="Tahoma"/>
                <w:b w:val="1"/>
                <w:bCs w:val="1"/>
                <w:color w:val="036287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36287"/>
                <w:sz w:val="22"/>
                <w:szCs w:val="22"/>
                <w:rtl w:val="0"/>
              </w:rPr>
              <w:t xml:space="preserve">Résumé de l’étude, recherche ou évaluation</w:t>
            </w:r>
          </w:p>
          <w:p w:rsidR="00000000" w:rsidDel="00000000" w:rsidP="00000000" w:rsidRDefault="00000000" w:rsidRPr="00000000" w14:paraId="00000004">
            <w:pPr>
              <w:ind w:right="-166"/>
              <w:jc w:val="center"/>
              <w:rPr>
                <w:rFonts w:ascii="Tahoma" w:cs="Tahoma" w:eastAsia="Tahoma" w:hAnsi="Tahoma"/>
                <w:b w:val="1"/>
                <w:bCs w:val="1"/>
                <w:color w:val="036287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36287"/>
                <w:sz w:val="22"/>
                <w:szCs w:val="22"/>
                <w:rtl w:val="0"/>
              </w:rPr>
              <w:t xml:space="preserve">à l’attention du porteur de projet</w:t>
            </w:r>
          </w:p>
          <w:p w:rsidR="00000000" w:rsidDel="00000000" w:rsidP="00000000" w:rsidRDefault="00000000" w:rsidRPr="00000000" w14:paraId="00000005">
            <w:pPr>
              <w:ind w:right="-166"/>
              <w:jc w:val="center"/>
              <w:rPr>
                <w:b w:val="1"/>
                <w:bCs w:val="1"/>
                <w:color w:val="1b84a0"/>
                <w:sz w:val="12"/>
                <w:szCs w:val="1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36287"/>
                <w:sz w:val="22"/>
                <w:szCs w:val="22"/>
                <w:rtl w:val="0"/>
              </w:rPr>
              <w:t xml:space="preserve">Obligatoirement en français – 3 pages maximum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pStyle w:val="Title"/>
        <w:spacing w:after="0" w:before="0" w:lineRule="auto"/>
        <w:jc w:val="left"/>
        <w:rPr>
          <w:rFonts w:ascii="Georgia" w:cs="Georgia" w:eastAsia="Georgia" w:hAnsi="Georgia"/>
          <w:sz w:val="28"/>
          <w:szCs w:val="28"/>
        </w:rPr>
      </w:pPr>
      <w:bookmarkStart w:colFirst="0" w:colLast="0" w:name="_heading=h.p61p3k4vid5q" w:id="0"/>
      <w:bookmarkEnd w:id="0"/>
      <w:r w:rsidDel="00000000" w:rsidR="00000000" w:rsidRPr="00000000">
        <w:rPr>
          <w:rtl w:val="0"/>
        </w:rPr>
      </w:r>
    </w:p>
    <w:tbl>
      <w:tblPr>
        <w:tblStyle w:val="Table2"/>
        <w:tblW w:w="10920.0" w:type="dxa"/>
        <w:jc w:val="left"/>
        <w:tblInd w:w="-255.0" w:type="dxa"/>
        <w:tblBorders>
          <w:top w:color="1b84a0" w:space="0" w:sz="4" w:val="single"/>
          <w:left w:color="1b84a0" w:space="0" w:sz="4" w:val="single"/>
          <w:bottom w:color="1b84a0" w:space="0" w:sz="4" w:val="single"/>
          <w:right w:color="1b84a0" w:space="0" w:sz="4" w:val="single"/>
          <w:insideH w:color="1b84a0" w:space="0" w:sz="4" w:val="single"/>
          <w:insideV w:color="1b84a0" w:space="0" w:sz="4" w:val="single"/>
        </w:tblBorders>
        <w:tblLayout w:type="fixed"/>
        <w:tblLook w:val="0400"/>
      </w:tblPr>
      <w:tblGrid>
        <w:gridCol w:w="3735"/>
        <w:gridCol w:w="7185"/>
        <w:tblGridChange w:id="0">
          <w:tblGrid>
            <w:gridCol w:w="3735"/>
            <w:gridCol w:w="7185"/>
          </w:tblGrid>
        </w:tblGridChange>
      </w:tblGrid>
      <w:tr>
        <w:trPr>
          <w:cantSplit w:val="0"/>
          <w:trHeight w:val="507.109375" w:hRule="atLeast"/>
          <w:tblHeader w:val="0"/>
        </w:trPr>
        <w:tc>
          <w:tcPr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60" w:before="60" w:lineRule="auto"/>
              <w:ind w:right="25"/>
              <w:jc w:val="center"/>
              <w:rPr>
                <w:color w:val="1b84a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1b84a0"/>
                <w:sz w:val="22"/>
                <w:szCs w:val="22"/>
                <w:rtl w:val="0"/>
              </w:rPr>
              <w:t xml:space="preserve">ACRONYME et </w:t>
            </w:r>
            <w:r w:rsidDel="00000000" w:rsidR="00000000" w:rsidRPr="00000000">
              <w:rPr>
                <w:b w:val="1"/>
                <w:bCs w:val="1"/>
                <w:color w:val="1b84a0"/>
                <w:sz w:val="22"/>
                <w:szCs w:val="22"/>
                <w:rtl w:val="0"/>
              </w:rPr>
              <w:t xml:space="preserve">NOM </w:t>
            </w:r>
            <w:r w:rsidDel="00000000" w:rsidR="00000000" w:rsidRPr="00000000">
              <w:rPr>
                <w:b w:val="1"/>
                <w:bCs w:val="1"/>
                <w:color w:val="1b84a0"/>
                <w:sz w:val="22"/>
                <w:szCs w:val="22"/>
                <w:rtl w:val="0"/>
              </w:rPr>
              <w:t xml:space="preserve">du projet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60" w:before="60" w:lineRule="auto"/>
              <w:ind w:right="708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60" w:before="60" w:lineRule="auto"/>
              <w:ind w:right="708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" w:hRule="atLeast"/>
          <w:tblHeader w:val="0"/>
        </w:trPr>
        <w:tc>
          <w:tcPr>
            <w:gridSpan w:val="2"/>
            <w:shd w:fill="1b84a0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60" w:before="60" w:lineRule="auto"/>
              <w:ind w:left="33" w:right="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PRÉSENTATION DE L'ÉQUIPE PROJET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60" w:before="60" w:lineRule="auto"/>
              <w:ind w:right="175"/>
              <w:jc w:val="center"/>
              <w:rPr>
                <w:b w:val="1"/>
                <w:bCs w:val="1"/>
                <w:color w:val="1b84a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36287"/>
                <w:sz w:val="18"/>
                <w:szCs w:val="18"/>
                <w:rtl w:val="0"/>
              </w:rPr>
              <w:t xml:space="preserve">Responsable de traitement (RT)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after="60" w:before="60" w:lineRule="auto"/>
              <w:ind w:right="-4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Il s’agit de la personne / de l’organisme qui détermine les finalités, les objectifs et les moyens de l’étude. Il endosse la responsabilité juridique du traitement.</w:t>
            </w:r>
          </w:p>
          <w:p w:rsidR="00000000" w:rsidDel="00000000" w:rsidP="00000000" w:rsidRDefault="00000000" w:rsidRPr="00000000" w14:paraId="0000000E">
            <w:pPr>
              <w:widowControl w:val="0"/>
              <w:spacing w:after="60" w:before="60" w:lineRule="auto"/>
              <w:ind w:right="-40"/>
              <w:jc w:val="both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 délégué à la protection des données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 doit également être précisé.</w:t>
            </w:r>
          </w:p>
          <w:p w:rsidR="00000000" w:rsidDel="00000000" w:rsidP="00000000" w:rsidRDefault="00000000" w:rsidRPr="00000000" w14:paraId="0000000F">
            <w:pPr>
              <w:widowControl w:val="0"/>
              <w:spacing w:after="60" w:before="60" w:lineRule="auto"/>
              <w:ind w:right="-4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after="60" w:before="60" w:lineRule="auto"/>
              <w:ind w:right="-40"/>
              <w:jc w:val="both"/>
              <w:rPr>
                <w:color w:val="1b84a0"/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S’ils sont pluriels, il convient de lister les 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60" w:before="60" w:lineRule="auto"/>
              <w:ind w:right="708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60" w:before="60" w:lineRule="auto"/>
              <w:ind w:right="175"/>
              <w:jc w:val="center"/>
              <w:rPr>
                <w:i w:val="1"/>
                <w:iCs w:val="1"/>
                <w:color w:val="036287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36287"/>
                <w:sz w:val="20"/>
                <w:szCs w:val="20"/>
                <w:rtl w:val="0"/>
              </w:rPr>
              <w:t xml:space="preserve">Responsable de la mise en œuvre – RMO </w:t>
            </w:r>
            <w:r w:rsidDel="00000000" w:rsidR="00000000" w:rsidRPr="00000000">
              <w:rPr>
                <w:i w:val="1"/>
                <w:iCs w:val="1"/>
                <w:color w:val="036287"/>
                <w:sz w:val="18"/>
                <w:szCs w:val="18"/>
                <w:rtl w:val="0"/>
              </w:rPr>
              <w:t xml:space="preserve">(le cas échéant</w:t>
            </w:r>
            <w:r w:rsidDel="00000000" w:rsidR="00000000" w:rsidRPr="00000000">
              <w:rPr>
                <w:i w:val="1"/>
                <w:iCs w:val="1"/>
                <w:color w:val="036287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3">
            <w:pPr>
              <w:spacing w:after="60" w:before="60" w:lineRule="auto"/>
              <w:ind w:right="175"/>
              <w:jc w:val="center"/>
              <w:rPr>
                <w:i w:val="1"/>
                <w:iCs w:val="1"/>
                <w:color w:val="1b84a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after="60" w:before="60" w:lineRule="auto"/>
              <w:ind w:right="-40"/>
              <w:jc w:val="both"/>
              <w:rPr>
                <w:i w:val="1"/>
                <w:iCs w:val="1"/>
                <w:color w:val="1b84a0"/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Il s’agit de la personne / l’organisme chargé de réaliser l’étude ou une partie de l’étude ; s’il n’est pas identique au responsable de traitement, il est son sous-traitant. Il convient de préciser la dénomination du RMO et le nom de son représentant juridique.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60" w:before="60" w:lineRule="auto"/>
              <w:ind w:right="708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gridSpan w:val="2"/>
            <w:shd w:fill="1b84a0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60" w:before="60" w:lineRule="auto"/>
              <w:ind w:left="33" w:right="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FINALITÉS ET OBJECTIFS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60" w:before="60" w:lineRule="auto"/>
              <w:ind w:right="34"/>
              <w:jc w:val="center"/>
              <w:rPr>
                <w:b w:val="1"/>
                <w:bCs w:val="1"/>
                <w:color w:val="1b84a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36287"/>
                <w:sz w:val="22"/>
                <w:szCs w:val="22"/>
                <w:rtl w:val="0"/>
              </w:rPr>
              <w:t xml:space="preserve">Contexte, objectif(s) et justification de l’étude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60" w:before="60" w:lineRule="auto"/>
              <w:ind w:right="708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3.43749999999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60" w:before="60" w:lineRule="auto"/>
              <w:ind w:left="34" w:right="34" w:firstLine="0"/>
              <w:jc w:val="center"/>
              <w:rPr>
                <w:color w:val="036287"/>
                <w:sz w:val="22"/>
                <w:szCs w:val="22"/>
              </w:rPr>
            </w:pPr>
            <w:r w:rsidDel="00000000" w:rsidR="00000000" w:rsidRPr="00000000">
              <w:rPr>
                <w:color w:val="036287"/>
                <w:sz w:val="22"/>
                <w:szCs w:val="22"/>
                <w:rtl w:val="0"/>
              </w:rPr>
              <w:t xml:space="preserve">Information des patients et protection des droits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60" w:before="60" w:lineRule="auto"/>
              <w:ind w:right="709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 Information individuelle des patients, des usagers, …</w:t>
            </w:r>
          </w:p>
          <w:p w:rsidR="00000000" w:rsidDel="00000000" w:rsidP="00000000" w:rsidRDefault="00000000" w:rsidRPr="00000000" w14:paraId="0000001C">
            <w:pPr>
              <w:spacing w:after="60" w:before="60" w:lineRule="auto"/>
              <w:ind w:right="709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 Information collective</w:t>
            </w:r>
          </w:p>
          <w:p w:rsidR="00000000" w:rsidDel="00000000" w:rsidP="00000000" w:rsidRDefault="00000000" w:rsidRPr="00000000" w14:paraId="0000001D">
            <w:pPr>
              <w:spacing w:after="60" w:before="60" w:lineRule="auto"/>
              <w:ind w:right="709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 Information hybride (par exemple, individuelle pour une partie des personnes concernées et collective pour une autre partie). </w:t>
            </w:r>
          </w:p>
          <w:p w:rsidR="00000000" w:rsidDel="00000000" w:rsidP="00000000" w:rsidRDefault="00000000" w:rsidRPr="00000000" w14:paraId="0000001E">
            <w:pPr>
              <w:spacing w:after="60" w:before="60" w:lineRule="auto"/>
              <w:ind w:right="709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60" w:before="60" w:lineRule="auto"/>
              <w:ind w:right="709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En cas de demande de dérogation à l’information individuelle pour tout ou partie des personnes, une justification doit être obligatoirement fournie dans le protocole 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right="34"/>
              <w:jc w:val="center"/>
              <w:rPr>
                <w:b w:val="1"/>
                <w:bCs w:val="1"/>
                <w:color w:val="036287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36287"/>
                <w:sz w:val="22"/>
                <w:szCs w:val="22"/>
                <w:rtl w:val="0"/>
              </w:rPr>
              <w:t xml:space="preserve">Justification de </w:t>
              <w:br w:type="textWrapping"/>
              <w:t xml:space="preserve">l’Intérêt public</w:t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right="34"/>
              <w:jc w:val="center"/>
              <w:rPr>
                <w:i w:val="1"/>
                <w:iCs w:val="1"/>
                <w:color w:val="036287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036287"/>
                <w:sz w:val="20"/>
                <w:szCs w:val="20"/>
                <w:rtl w:val="0"/>
              </w:rPr>
              <w:t xml:space="preserve">(Bénéfice du projet pour la société, effort de transparence de publication des résultats)</w:t>
            </w:r>
          </w:p>
        </w:tc>
        <w:tc>
          <w:tcPr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60" w:before="60" w:lineRule="auto"/>
              <w:ind w:right="708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60" w:before="60" w:lineRule="auto"/>
              <w:ind w:left="34" w:right="34" w:firstLine="0"/>
              <w:jc w:val="center"/>
              <w:rPr>
                <w:b w:val="1"/>
                <w:bCs w:val="1"/>
                <w:color w:val="036287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36287"/>
                <w:sz w:val="22"/>
                <w:szCs w:val="22"/>
                <w:rtl w:val="0"/>
              </w:rPr>
              <w:t xml:space="preserve">Publication des résultats et valorisation</w:t>
            </w:r>
          </w:p>
        </w:tc>
        <w:tc>
          <w:tcPr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60" w:before="60" w:lineRule="auto"/>
              <w:ind w:right="708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1b84a0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60" w:before="60" w:lineRule="auto"/>
              <w:ind w:left="33" w:right="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MÉTHODOLOGIE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60" w:before="60" w:lineRule="auto"/>
              <w:ind w:left="34" w:right="34" w:firstLine="0"/>
              <w:jc w:val="center"/>
              <w:rPr>
                <w:color w:val="036287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36287"/>
                <w:sz w:val="22"/>
                <w:szCs w:val="22"/>
                <w:rtl w:val="0"/>
              </w:rPr>
              <w:t xml:space="preserve">(a)Population ciblée</w:t>
            </w:r>
            <w:r w:rsidDel="00000000" w:rsidR="00000000" w:rsidRPr="00000000">
              <w:rPr>
                <w:color w:val="036287"/>
                <w:sz w:val="22"/>
                <w:szCs w:val="22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color w:val="036287"/>
                <w:sz w:val="20"/>
                <w:szCs w:val="20"/>
                <w:rtl w:val="0"/>
              </w:rPr>
              <w:t xml:space="preserve">(critères d’inclusion et non inclusion)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60" w:before="60" w:lineRule="auto"/>
              <w:ind w:left="34" w:right="34" w:firstLine="0"/>
              <w:jc w:val="center"/>
              <w:rPr>
                <w:color w:val="036287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60" w:before="60" w:lineRule="auto"/>
              <w:ind w:left="34" w:right="34" w:firstLine="0"/>
              <w:jc w:val="center"/>
              <w:rPr>
                <w:b w:val="1"/>
                <w:bCs w:val="1"/>
                <w:color w:val="036287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36287"/>
                <w:sz w:val="22"/>
                <w:szCs w:val="22"/>
                <w:rtl w:val="0"/>
              </w:rPr>
              <w:t xml:space="preserve">(b) Période d’inclusion ou de ciblage</w:t>
            </w:r>
            <w:r w:rsidDel="00000000" w:rsidR="00000000" w:rsidRPr="00000000">
              <w:rPr>
                <w:b w:val="1"/>
                <w:bCs w:val="1"/>
                <w:color w:val="036287"/>
                <w:sz w:val="22"/>
                <w:szCs w:val="22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tabs>
                <w:tab w:val="left" w:leader="none" w:pos="1091"/>
                <w:tab w:val="left" w:leader="none" w:pos="4210"/>
              </w:tabs>
              <w:spacing w:after="60" w:before="60" w:lineRule="auto"/>
              <w:ind w:right="708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(a)</w:t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1091"/>
                <w:tab w:val="left" w:leader="none" w:pos="4210"/>
              </w:tabs>
              <w:spacing w:after="60" w:before="60" w:lineRule="auto"/>
              <w:ind w:right="708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1091"/>
                <w:tab w:val="left" w:leader="none" w:pos="4210"/>
              </w:tabs>
              <w:spacing w:after="60" w:before="60" w:lineRule="auto"/>
              <w:ind w:right="708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(b) De … à … </w:t>
            </w:r>
          </w:p>
        </w:tc>
      </w:tr>
      <w:tr>
        <w:trPr>
          <w:cantSplit w:val="0"/>
          <w:tblHeader w:val="0"/>
        </w:trPr>
        <w:tc>
          <w:tcPr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60" w:before="60" w:lineRule="auto"/>
              <w:ind w:left="34" w:right="34" w:firstLine="0"/>
              <w:jc w:val="center"/>
              <w:rPr>
                <w:b w:val="1"/>
                <w:bCs w:val="1"/>
                <w:color w:val="036287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36287"/>
                <w:sz w:val="22"/>
                <w:szCs w:val="22"/>
                <w:rtl w:val="0"/>
              </w:rPr>
              <w:t xml:space="preserve">Taille de la population et représentativité</w:t>
            </w:r>
          </w:p>
        </w:tc>
        <w:tc>
          <w:tcPr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1091"/>
                <w:tab w:val="left" w:leader="none" w:pos="4210"/>
              </w:tabs>
              <w:spacing w:after="60" w:before="60" w:lineRule="auto"/>
              <w:ind w:right="708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60" w:before="60" w:lineRule="auto"/>
              <w:ind w:left="34" w:right="34" w:firstLine="0"/>
              <w:jc w:val="center"/>
              <w:rPr>
                <w:b w:val="1"/>
                <w:bCs w:val="1"/>
                <w:color w:val="036287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36287"/>
                <w:sz w:val="22"/>
                <w:szCs w:val="22"/>
                <w:rtl w:val="0"/>
              </w:rPr>
              <w:t xml:space="preserve">Types de sources de données</w:t>
              <w:br w:type="textWrapping"/>
              <w:t xml:space="preserve">requises</w:t>
            </w:r>
          </w:p>
        </w:tc>
        <w:tc>
          <w:tcPr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tabs>
                <w:tab w:val="left" w:leader="none" w:pos="1091"/>
                <w:tab w:val="left" w:leader="none" w:pos="4210"/>
              </w:tabs>
              <w:spacing w:after="60" w:before="60" w:lineRule="auto"/>
              <w:ind w:right="708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 Dossiers médicaux</w:t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1091"/>
                <w:tab w:val="left" w:leader="none" w:pos="4210"/>
              </w:tabs>
              <w:spacing w:after="60" w:before="60" w:lineRule="auto"/>
              <w:ind w:right="708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 Données de la base principale du SNDS :</w:t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1091"/>
                <w:tab w:val="left" w:leader="none" w:pos="4210"/>
              </w:tabs>
              <w:spacing w:after="60" w:before="60" w:lineRule="auto"/>
              <w:ind w:left="425" w:right="708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 DCIR / SNIIRAM</w:t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1091"/>
                <w:tab w:val="left" w:leader="none" w:pos="4210"/>
              </w:tabs>
              <w:spacing w:after="60" w:before="60" w:lineRule="auto"/>
              <w:ind w:left="425" w:right="708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 PMSI</w:t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1091"/>
                <w:tab w:val="left" w:leader="none" w:pos="4210"/>
              </w:tabs>
              <w:spacing w:after="60" w:before="60" w:lineRule="auto"/>
              <w:ind w:left="425" w:right="708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 Causes médicales de décès </w:t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1091"/>
                <w:tab w:val="left" w:leader="none" w:pos="4210"/>
              </w:tabs>
              <w:spacing w:after="60" w:before="60" w:lineRule="auto"/>
              <w:ind w:left="425" w:right="708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 Données médico-sociales des maisons départementales des personnes handicapées</w:t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1091"/>
                <w:tab w:val="left" w:leader="none" w:pos="4210"/>
              </w:tabs>
              <w:spacing w:after="60" w:before="60" w:lineRule="auto"/>
              <w:ind w:left="425" w:right="708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 SI-DEP</w:t>
            </w:r>
          </w:p>
          <w:p w:rsidR="00000000" w:rsidDel="00000000" w:rsidP="00000000" w:rsidRDefault="00000000" w:rsidRPr="00000000" w14:paraId="00000037">
            <w:pPr>
              <w:tabs>
                <w:tab w:val="left" w:leader="none" w:pos="1091"/>
                <w:tab w:val="left" w:leader="none" w:pos="4210"/>
              </w:tabs>
              <w:spacing w:after="60" w:before="60" w:lineRule="auto"/>
              <w:ind w:left="425" w:right="708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 Vaccin-COVID (SIVAC)</w:t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1091"/>
                <w:tab w:val="left" w:leader="none" w:pos="4210"/>
              </w:tabs>
              <w:spacing w:after="60" w:before="60" w:lineRule="auto"/>
              <w:ind w:left="425" w:right="708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 ESND</w:t>
            </w:r>
            <w:r w:rsidDel="00000000" w:rsidR="00000000" w:rsidRPr="00000000">
              <w:rPr>
                <w:sz w:val="22"/>
                <w:szCs w:val="22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1091"/>
                <w:tab w:val="left" w:leader="none" w:pos="4210"/>
              </w:tabs>
              <w:spacing w:after="60" w:before="60" w:lineRule="auto"/>
              <w:ind w:left="425" w:right="708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 Datamarts</w:t>
            </w:r>
            <w:r w:rsidDel="00000000" w:rsidR="00000000" w:rsidRPr="00000000">
              <w:rPr>
                <w:sz w:val="22"/>
                <w:szCs w:val="22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tabs>
                <w:tab w:val="left" w:leader="none" w:pos="1091"/>
                <w:tab w:val="left" w:leader="none" w:pos="4210"/>
              </w:tabs>
              <w:spacing w:after="60" w:before="60" w:lineRule="auto"/>
              <w:ind w:right="708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 Registre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1091"/>
                <w:tab w:val="left" w:leader="none" w:pos="4210"/>
              </w:tabs>
              <w:spacing w:after="60" w:before="60" w:lineRule="auto"/>
              <w:ind w:right="708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 Enquête / Cohorte</w:t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1091"/>
                <w:tab w:val="left" w:leader="none" w:pos="4210"/>
              </w:tabs>
              <w:spacing w:after="60" w:before="60" w:lineRule="auto"/>
              <w:ind w:right="708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 Autre(s) : 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60" w:before="60" w:lineRule="auto"/>
              <w:ind w:left="34" w:right="34" w:firstLine="0"/>
              <w:jc w:val="center"/>
              <w:rPr>
                <w:color w:val="036287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36287"/>
                <w:sz w:val="22"/>
                <w:szCs w:val="22"/>
                <w:rtl w:val="0"/>
              </w:rPr>
              <w:t xml:space="preserve">Historique global des données demandées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60" w:before="60" w:lineRule="auto"/>
              <w:ind w:left="34" w:right="34" w:firstLine="0"/>
              <w:jc w:val="center"/>
              <w:rPr>
                <w:color w:val="036287"/>
                <w:sz w:val="20"/>
                <w:szCs w:val="20"/>
              </w:rPr>
            </w:pPr>
            <w:r w:rsidDel="00000000" w:rsidR="00000000" w:rsidRPr="00000000">
              <w:rPr>
                <w:color w:val="036287"/>
                <w:sz w:val="20"/>
                <w:szCs w:val="20"/>
                <w:rtl w:val="0"/>
              </w:rPr>
              <w:t xml:space="preserve"> (période d’extraction)</w:t>
            </w:r>
          </w:p>
        </w:tc>
        <w:tc>
          <w:tcPr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60" w:before="60" w:lineRule="auto"/>
              <w:ind w:right="708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 … à …</w:t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1b84a0" w:space="0" w:sz="4" w:val="single"/>
              <w:left w:color="1b84a0" w:space="0" w:sz="4" w:val="single"/>
              <w:bottom w:color="1b84a0" w:space="0" w:sz="4" w:val="single"/>
              <w:right w:color="1b84a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60" w:before="60" w:lineRule="auto"/>
              <w:ind w:left="34" w:right="34" w:firstLine="0"/>
              <w:jc w:val="center"/>
              <w:rPr>
                <w:b w:val="1"/>
                <w:bCs w:val="1"/>
                <w:color w:val="036287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36287"/>
                <w:sz w:val="22"/>
                <w:szCs w:val="22"/>
                <w:rtl w:val="0"/>
              </w:rPr>
              <w:t xml:space="preserve">Circuit des données en cas d’appariement</w:t>
            </w:r>
          </w:p>
        </w:tc>
        <w:tc>
          <w:tcPr>
            <w:tcBorders>
              <w:top w:color="1b84a0" w:space="0" w:sz="4" w:val="single"/>
              <w:left w:color="1b84a0" w:space="0" w:sz="4" w:val="single"/>
              <w:bottom w:color="1b84a0" w:space="0" w:sz="4" w:val="single"/>
              <w:right w:color="1b84a0" w:space="0" w:sz="4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spacing w:before="60" w:lineRule="auto"/>
              <w:ind w:right="-4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L’appariement est-il :</w:t>
            </w:r>
          </w:p>
          <w:p w:rsidR="00000000" w:rsidDel="00000000" w:rsidP="00000000" w:rsidRDefault="00000000" w:rsidRPr="00000000" w14:paraId="00000042">
            <w:pPr>
              <w:widowControl w:val="0"/>
              <w:spacing w:after="60" w:lineRule="auto"/>
              <w:ind w:right="-4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1b84a0"/>
                <w:sz w:val="22"/>
                <w:szCs w:val="22"/>
                <w:rtl w:val="0"/>
              </w:rPr>
              <w:t xml:space="preserve">☐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Déterministe (direct)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ind w:right="-40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1b84a0"/>
                <w:sz w:val="22"/>
                <w:szCs w:val="22"/>
                <w:rtl w:val="0"/>
              </w:rPr>
              <w:t xml:space="preserve">☐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Probabiliste ou indirect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60" w:before="60" w:lineRule="auto"/>
              <w:ind w:right="34"/>
              <w:jc w:val="center"/>
              <w:rPr>
                <w:b w:val="1"/>
                <w:bCs w:val="1"/>
                <w:color w:val="036287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36287"/>
                <w:sz w:val="22"/>
                <w:szCs w:val="22"/>
                <w:rtl w:val="0"/>
              </w:rPr>
              <w:t xml:space="preserve">Méthode, traitement et analyse des données</w:t>
            </w:r>
          </w:p>
        </w:tc>
        <w:tc>
          <w:tcPr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60" w:before="60" w:lineRule="auto"/>
              <w:ind w:right="708"/>
              <w:rPr>
                <w:color w:val="1b84a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after="60" w:before="60" w:lineRule="auto"/>
              <w:ind w:left="34" w:right="34" w:firstLine="0"/>
              <w:jc w:val="center"/>
              <w:rPr>
                <w:b w:val="1"/>
                <w:bCs w:val="1"/>
                <w:color w:val="036287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36287"/>
                <w:sz w:val="22"/>
                <w:szCs w:val="22"/>
                <w:rtl w:val="0"/>
              </w:rPr>
              <w:t xml:space="preserve">Durée d’accès aux données</w:t>
            </w:r>
            <w:r w:rsidDel="00000000" w:rsidR="00000000" w:rsidRPr="00000000">
              <w:rPr>
                <w:b w:val="1"/>
                <w:bCs w:val="1"/>
                <w:color w:val="036287"/>
                <w:sz w:val="22"/>
                <w:szCs w:val="22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60" w:before="60" w:lineRule="auto"/>
              <w:ind w:right="708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En année : … an(s)</w:t>
            </w:r>
          </w:p>
        </w:tc>
      </w:tr>
    </w:tbl>
    <w:p w:rsidR="00000000" w:rsidDel="00000000" w:rsidP="00000000" w:rsidRDefault="00000000" w:rsidRPr="00000000" w14:paraId="00000048">
      <w:pPr>
        <w:ind w:left="-709" w:right="708" w:firstLine="0"/>
        <w:rPr/>
      </w:pPr>
      <w:r w:rsidDel="00000000" w:rsidR="00000000" w:rsidRPr="00000000">
        <w:rPr>
          <w:rtl w:val="0"/>
        </w:rPr>
      </w:r>
    </w:p>
    <w:sectPr>
      <w:footerReference r:id="rId9" w:type="default"/>
      <w:footerReference r:id="rId10" w:type="even"/>
      <w:pgSz w:h="16840" w:w="11900" w:orient="portrait"/>
      <w:pgMar w:bottom="454" w:top="425" w:left="708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19053</wp:posOffset>
          </wp:positionH>
          <wp:positionV relativeFrom="paragraph">
            <wp:posOffset>205085</wp:posOffset>
          </wp:positionV>
          <wp:extent cx="707707" cy="330776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7707" cy="33077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D">
    <w:pPr>
      <w:tabs>
        <w:tab w:val="center" w:leader="none" w:pos="4513"/>
        <w:tab w:val="right" w:leader="none" w:pos="9026"/>
      </w:tabs>
      <w:jc w:val="both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Résumé du protocole de recherche</w:t>
    </w:r>
  </w:p>
  <w:p w:rsidR="00000000" w:rsidDel="00000000" w:rsidP="00000000" w:rsidRDefault="00000000" w:rsidRPr="00000000" w14:paraId="0000004E">
    <w:pPr>
      <w:tabs>
        <w:tab w:val="center" w:leader="none" w:pos="4513"/>
        <w:tab w:val="right" w:leader="none" w:pos="9026"/>
      </w:tabs>
      <w:jc w:val="both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Mise à jour : Juin 2026</w:t>
    </w:r>
  </w:p>
  <w:p w:rsidR="00000000" w:rsidDel="00000000" w:rsidP="00000000" w:rsidRDefault="00000000" w:rsidRPr="00000000" w14:paraId="0000004F">
    <w:pPr>
      <w:tabs>
        <w:tab w:val="center" w:leader="none" w:pos="4513"/>
        <w:tab w:val="right" w:leader="none" w:pos="9026"/>
      </w:tabs>
      <w:jc w:val="both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Modèle obligatoire pour les projets soumis au CESREES à compter de la séance du 12 novembre 2026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49">
      <w:pPr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La période de ciblage et la période d’extraction peuvent différer. Par exemple : on veut faire une étude sur des patients hospitalisés pour un infarctus du myocarde de 2011 à 2013 et les suivre jusqu’à 2019, on aura donc une période de ciblage de 2011 à 2013 et une période d’extraction allant de 2011 à 2019. </w:t>
      </w:r>
    </w:p>
  </w:footnote>
  <w:footnote w:id="1">
    <w:p w:rsidR="00000000" w:rsidDel="00000000" w:rsidP="00000000" w:rsidRDefault="00000000" w:rsidRPr="00000000" w14:paraId="0000004A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Si vous mobilisez cette seule source, une </w:t>
      </w:r>
      <w:hyperlink r:id="rId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procédure d’accès simplifiée</w:t>
        </w:r>
      </w:hyperlink>
      <w:r w:rsidDel="00000000" w:rsidR="00000000" w:rsidRPr="00000000">
        <w:rPr>
          <w:color w:val="000000"/>
          <w:sz w:val="20"/>
          <w:szCs w:val="20"/>
          <w:rtl w:val="0"/>
        </w:rPr>
        <w:t xml:space="preserve"> à ces données</w:t>
      </w:r>
      <w:r w:rsidDel="00000000" w:rsidR="00000000" w:rsidRPr="00000000">
        <w:rPr>
          <w:sz w:val="20"/>
          <w:szCs w:val="20"/>
          <w:rtl w:val="0"/>
        </w:rPr>
        <w:t xml:space="preserve"> peut être sollicitée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. Nous vous invitons à vérifier que vous n’êtes pas éligible à celle-ci.</w:t>
      </w:r>
    </w:p>
  </w:footnote>
  <w:footnote w:id="2">
    <w:p w:rsidR="00000000" w:rsidDel="00000000" w:rsidP="00000000" w:rsidRDefault="00000000" w:rsidRPr="00000000" w14:paraId="0000004B">
      <w:pPr>
        <w:jc w:val="both"/>
        <w:rPr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La durée d’accès correspond à la durée nécessaire pour réaliser l’étude. Concrètement, il s’agit de la période pendant laquelle les données seront à la disposition du porteur de projet. 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www.health-data-hub.fr/actualites/publication-de-la-procedure-dacces-simplifie-les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EjEfMIxBDObC02dZX0DFrk5Ipg==">CgMxLjAyDmgucDYxcDNrNHZpZDVxOABqJwoUc3VnZ2VzdC54bjZoYjgxcTJubGUSD1BpZXJyZSBERSBWSVZJRXIhMWZRaS1OZXZpdHYxeWVOS0NYa2doRFNwTFZMeEc5WkI2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