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40"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Title"/>
        <w:spacing w:line="240" w:lineRule="auto"/>
        <w:rPr/>
      </w:pPr>
      <w:bookmarkStart w:colFirst="0" w:colLast="0" w:name="_heading=h.30j0zll" w:id="1"/>
      <w:bookmarkEnd w:id="1"/>
      <w:r w:rsidDel="00000000" w:rsidR="00000000" w:rsidRPr="00000000">
        <w:rPr>
          <w:rtl w:val="0"/>
        </w:rPr>
      </w:r>
    </w:p>
    <w:p w:rsidR="00000000" w:rsidDel="00000000" w:rsidP="00000000" w:rsidRDefault="00000000" w:rsidRPr="00000000" w14:paraId="00000003">
      <w:pPr>
        <w:pStyle w:val="Title"/>
        <w:spacing w:line="240" w:lineRule="auto"/>
        <w:rPr/>
      </w:pPr>
      <w:bookmarkStart w:colFirst="0" w:colLast="0" w:name="_heading=h.1fob9te" w:id="2"/>
      <w:bookmarkEnd w:id="2"/>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rtl w:val="0"/>
        </w:rPr>
      </w:r>
    </w:p>
    <w:p w:rsidR="00000000" w:rsidDel="00000000" w:rsidP="00000000" w:rsidRDefault="00000000" w:rsidRPr="00000000" w14:paraId="00000006">
      <w:pPr>
        <w:pStyle w:val="Title"/>
        <w:spacing w:line="240" w:lineRule="auto"/>
        <w:rPr/>
      </w:pPr>
      <w:bookmarkStart w:colFirst="0" w:colLast="0" w:name="_heading=h.3znysh7" w:id="3"/>
      <w:bookmarkEnd w:id="3"/>
      <w:r w:rsidDel="00000000" w:rsidR="00000000" w:rsidRPr="00000000">
        <w:rPr>
          <w:rtl w:val="0"/>
        </w:rPr>
        <w:t xml:space="preserve">APPEL À MANIFESTATION D’INTÉRÊT</w:t>
      </w:r>
    </w:p>
    <w:p w:rsidR="00000000" w:rsidDel="00000000" w:rsidP="00000000" w:rsidRDefault="00000000" w:rsidRPr="00000000" w14:paraId="00000007">
      <w:pPr>
        <w:pStyle w:val="Title"/>
        <w:rPr/>
      </w:pPr>
      <w:bookmarkStart w:colFirst="0" w:colLast="0" w:name="_heading=h.2et92p0" w:id="4"/>
      <w:bookmarkEnd w:id="4"/>
      <w:r w:rsidDel="00000000" w:rsidR="00000000" w:rsidRPr="00000000">
        <w:rPr>
          <w:rtl w:val="0"/>
        </w:rPr>
        <w:t xml:space="preserve">Catalogue du SNDS</w:t>
      </w:r>
    </w:p>
    <w:p w:rsidR="00000000" w:rsidDel="00000000" w:rsidP="00000000" w:rsidRDefault="00000000" w:rsidRPr="00000000" w14:paraId="00000008">
      <w:pPr>
        <w:pStyle w:val="Subtitle"/>
        <w:spacing w:line="240" w:lineRule="auto"/>
        <w:rPr>
          <w:color w:val="036287"/>
          <w:sz w:val="38"/>
          <w:szCs w:val="38"/>
        </w:rPr>
      </w:pPr>
      <w:bookmarkStart w:colFirst="0" w:colLast="0" w:name="_heading=h.tyjcwt" w:id="5"/>
      <w:bookmarkEnd w:id="5"/>
      <w:r w:rsidDel="00000000" w:rsidR="00000000" w:rsidRPr="00000000">
        <w:rPr>
          <w:rtl w:val="0"/>
        </w:rPr>
        <w:t xml:space="preserve">Cahier des charges</w:t>
      </w:r>
      <w:r w:rsidDel="00000000" w:rsidR="00000000" w:rsidRPr="00000000">
        <w:rPr>
          <w:rtl w:val="0"/>
        </w:rPr>
      </w:r>
    </w:p>
    <w:p w:rsidR="00000000" w:rsidDel="00000000" w:rsidP="00000000" w:rsidRDefault="00000000" w:rsidRPr="00000000" w14:paraId="00000009">
      <w:pPr>
        <w:spacing w:line="240" w:lineRule="auto"/>
        <w:jc w:val="both"/>
        <w:rPr>
          <w:b w:val="1"/>
          <w:color w:val="036287"/>
          <w:sz w:val="36"/>
          <w:szCs w:val="36"/>
        </w:rPr>
      </w:pPr>
      <w:r w:rsidDel="00000000" w:rsidR="00000000" w:rsidRPr="00000000">
        <w:rPr>
          <w:rtl w:val="0"/>
        </w:rPr>
      </w:r>
    </w:p>
    <w:p w:rsidR="00000000" w:rsidDel="00000000" w:rsidP="00000000" w:rsidRDefault="00000000" w:rsidRPr="00000000" w14:paraId="0000000A">
      <w:pPr>
        <w:spacing w:after="120" w:line="240" w:lineRule="auto"/>
        <w:jc w:val="both"/>
        <w:rPr/>
      </w:pPr>
      <w:r w:rsidDel="00000000" w:rsidR="00000000" w:rsidRPr="00000000">
        <w:rPr>
          <w:rtl w:val="0"/>
        </w:rPr>
      </w:r>
    </w:p>
    <w:p w:rsidR="00000000" w:rsidDel="00000000" w:rsidP="00000000" w:rsidRDefault="00000000" w:rsidRPr="00000000" w14:paraId="0000000B">
      <w:pPr>
        <w:spacing w:after="12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1714500</wp:posOffset>
            </wp:positionH>
            <wp:positionV relativeFrom="paragraph">
              <wp:posOffset>164753</wp:posOffset>
            </wp:positionV>
            <wp:extent cx="2222848" cy="468673"/>
            <wp:effectExtent b="0" l="0" r="0" t="0"/>
            <wp:wrapSquare wrapText="bothSides" distB="114300" distT="114300" distL="114300" distR="114300"/>
            <wp:docPr id="2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22848" cy="468673"/>
                    </a:xfrm>
                    <a:prstGeom prst="rect"/>
                    <a:ln/>
                  </pic:spPr>
                </pic:pic>
              </a:graphicData>
            </a:graphic>
          </wp:anchor>
        </w:drawing>
      </w:r>
    </w:p>
    <w:p w:rsidR="00000000" w:rsidDel="00000000" w:rsidP="00000000" w:rsidRDefault="00000000" w:rsidRPr="00000000" w14:paraId="0000000C">
      <w:pPr>
        <w:spacing w:after="120" w:line="240" w:lineRule="auto"/>
        <w:jc w:val="both"/>
        <w:rPr/>
      </w:pPr>
      <w:r w:rsidDel="00000000" w:rsidR="00000000" w:rsidRPr="00000000">
        <w:rPr>
          <w:rtl w:val="0"/>
        </w:rPr>
      </w:r>
    </w:p>
    <w:p w:rsidR="00000000" w:rsidDel="00000000" w:rsidP="00000000" w:rsidRDefault="00000000" w:rsidRPr="00000000" w14:paraId="0000000D">
      <w:pPr>
        <w:spacing w:after="120" w:line="240" w:lineRule="auto"/>
        <w:jc w:val="both"/>
        <w:rPr/>
      </w:pPr>
      <w:r w:rsidDel="00000000" w:rsidR="00000000" w:rsidRPr="00000000">
        <w:rPr>
          <w:rtl w:val="0"/>
        </w:rPr>
      </w:r>
    </w:p>
    <w:p w:rsidR="00000000" w:rsidDel="00000000" w:rsidP="00000000" w:rsidRDefault="00000000" w:rsidRPr="00000000" w14:paraId="0000000E">
      <w:pPr>
        <w:spacing w:after="120" w:line="240" w:lineRule="auto"/>
        <w:jc w:val="both"/>
        <w:rPr/>
      </w:pPr>
      <w:r w:rsidDel="00000000" w:rsidR="00000000" w:rsidRPr="00000000">
        <w:rPr>
          <w:rtl w:val="0"/>
        </w:rPr>
      </w:r>
    </w:p>
    <w:p w:rsidR="00000000" w:rsidDel="00000000" w:rsidP="00000000" w:rsidRDefault="00000000" w:rsidRPr="00000000" w14:paraId="0000000F">
      <w:pPr>
        <w:spacing w:after="120" w:line="240" w:lineRule="auto"/>
        <w:jc w:val="both"/>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after="120" w:line="240" w:lineRule="auto"/>
        <w:jc w:val="both"/>
        <w:rPr/>
      </w:pPr>
      <w:r w:rsidDel="00000000" w:rsidR="00000000" w:rsidRPr="00000000">
        <w:rPr>
          <w:rtl w:val="0"/>
        </w:rPr>
      </w:r>
    </w:p>
    <w:p w:rsidR="00000000" w:rsidDel="00000000" w:rsidP="00000000" w:rsidRDefault="00000000" w:rsidRPr="00000000" w14:paraId="00000016">
      <w:pPr>
        <w:spacing w:after="120" w:line="240" w:lineRule="auto"/>
        <w:jc w:val="both"/>
        <w:rPr/>
      </w:pPr>
      <w:r w:rsidDel="00000000" w:rsidR="00000000" w:rsidRPr="00000000">
        <w:rPr>
          <w:rtl w:val="0"/>
        </w:rPr>
      </w:r>
    </w:p>
    <w:p w:rsidR="00000000" w:rsidDel="00000000" w:rsidP="00000000" w:rsidRDefault="00000000" w:rsidRPr="00000000" w14:paraId="00000017">
      <w:pPr>
        <w:spacing w:after="120" w:line="240" w:lineRule="auto"/>
        <w:jc w:val="both"/>
        <w:rPr/>
      </w:pPr>
      <w:r w:rsidDel="00000000" w:rsidR="00000000" w:rsidRPr="00000000">
        <w:rPr>
          <w:rtl w:val="0"/>
        </w:rPr>
      </w:r>
    </w:p>
    <w:p w:rsidR="00000000" w:rsidDel="00000000" w:rsidP="00000000" w:rsidRDefault="00000000" w:rsidRPr="00000000" w14:paraId="00000018">
      <w:pPr>
        <w:spacing w:after="100" w:before="0" w:line="240" w:lineRule="auto"/>
        <w:jc w:val="both"/>
        <w:rPr>
          <w:b w:val="1"/>
        </w:rPr>
      </w:pPr>
      <w:r w:rsidDel="00000000" w:rsidR="00000000" w:rsidRPr="00000000">
        <w:rPr>
          <w:b w:val="1"/>
          <w:rtl w:val="0"/>
        </w:rPr>
        <w:t xml:space="preserve">Calendrier de l’</w:t>
      </w:r>
      <w:r w:rsidDel="00000000" w:rsidR="00000000" w:rsidRPr="00000000">
        <w:rPr>
          <w:b w:val="1"/>
          <w:rtl w:val="0"/>
        </w:rPr>
        <w:t xml:space="preserve">appel à manifestation d'intérêt</w:t>
      </w:r>
      <w:r w:rsidDel="00000000" w:rsidR="00000000" w:rsidRPr="00000000">
        <w:rPr>
          <w:rtl w:val="0"/>
        </w:rPr>
      </w:r>
    </w:p>
    <w:p w:rsidR="00000000" w:rsidDel="00000000" w:rsidP="00000000" w:rsidRDefault="00000000" w:rsidRPr="00000000" w14:paraId="00000019">
      <w:pPr>
        <w:spacing w:after="100" w:before="0" w:line="240" w:lineRule="auto"/>
        <w:jc w:val="both"/>
        <w:rPr/>
      </w:pPr>
      <w:r w:rsidDel="00000000" w:rsidR="00000000" w:rsidRPr="00000000">
        <w:rPr>
          <w:rtl w:val="0"/>
        </w:rPr>
        <w:t xml:space="preserve">L’Appel à Manifestation d’Intérêt (AMI) du Catalogue du SNDS organisé par le Health Data Hub est ouvert le 10/03/2025 et se clôture le 11/05/2025 à minuit. </w:t>
      </w:r>
    </w:p>
    <w:p w:rsidR="00000000" w:rsidDel="00000000" w:rsidP="00000000" w:rsidRDefault="00000000" w:rsidRPr="00000000" w14:paraId="0000001A">
      <w:pPr>
        <w:spacing w:after="100" w:before="0" w:line="240" w:lineRule="auto"/>
        <w:rPr/>
      </w:pPr>
      <w:r w:rsidDel="00000000" w:rsidR="00000000" w:rsidRPr="00000000">
        <w:rPr>
          <w:rtl w:val="0"/>
        </w:rPr>
        <w:t xml:space="preserve">Les projets peuvent être soumis pendant toute la période d’ouverture de l’</w:t>
      </w:r>
      <w:r w:rsidDel="00000000" w:rsidR="00000000" w:rsidRPr="00000000">
        <w:rPr>
          <w:rtl w:val="0"/>
        </w:rPr>
        <w:t xml:space="preserve">appel à manifestation d'intérêt</w:t>
      </w:r>
      <w:r w:rsidDel="00000000" w:rsidR="00000000" w:rsidRPr="00000000">
        <w:rPr>
          <w:rtl w:val="0"/>
        </w:rPr>
        <w:t xml:space="preserve">. Ils ne sont toutefois relevés qu’à la date de clôture.</w:t>
      </w:r>
    </w:p>
    <w:p w:rsidR="00000000" w:rsidDel="00000000" w:rsidP="00000000" w:rsidRDefault="00000000" w:rsidRPr="00000000" w14:paraId="0000001B">
      <w:pPr>
        <w:spacing w:after="100" w:before="0" w:line="240" w:lineRule="auto"/>
        <w:jc w:val="both"/>
        <w:rPr/>
      </w:pPr>
      <w:r w:rsidDel="00000000" w:rsidR="00000000" w:rsidRPr="00000000">
        <w:rPr>
          <w:rtl w:val="0"/>
        </w:rPr>
        <w:t xml:space="preserve">Les questions relatives à l’</w:t>
      </w:r>
      <w:r w:rsidDel="00000000" w:rsidR="00000000" w:rsidRPr="00000000">
        <w:rPr>
          <w:rtl w:val="0"/>
        </w:rPr>
        <w:t xml:space="preserve">appel à manifestation d'intérêt</w:t>
      </w:r>
      <w:r w:rsidDel="00000000" w:rsidR="00000000" w:rsidRPr="00000000">
        <w:rPr>
          <w:rtl w:val="0"/>
        </w:rPr>
        <w:t xml:space="preserve"> peuvent être posées à l’adresse suivante : </w:t>
      </w:r>
      <w:hyperlink r:id="rId8">
        <w:r w:rsidDel="00000000" w:rsidR="00000000" w:rsidRPr="00000000">
          <w:rPr>
            <w:b w:val="1"/>
            <w:color w:val="1155cc"/>
            <w:u w:val="single"/>
            <w:rtl w:val="0"/>
          </w:rPr>
          <w:t xml:space="preserve">ami.catalogue@health-data-hub.fr</w:t>
        </w:r>
      </w:hyperlink>
      <w:r w:rsidDel="00000000" w:rsidR="00000000" w:rsidRPr="00000000">
        <w:rPr>
          <w:rtl w:val="0"/>
        </w:rPr>
        <w:t xml:space="preserve"> ou dans notre FAQ </w:t>
      </w:r>
      <w:r w:rsidDel="00000000" w:rsidR="00000000" w:rsidRPr="00000000">
        <w:rPr>
          <w:rtl w:val="0"/>
        </w:rPr>
        <w:t xml:space="preserve">dédiée à l’AMI.</w:t>
      </w:r>
    </w:p>
    <w:p w:rsidR="00000000" w:rsidDel="00000000" w:rsidP="00000000" w:rsidRDefault="00000000" w:rsidRPr="00000000" w14:paraId="0000001C">
      <w:pPr>
        <w:spacing w:after="60" w:line="240" w:lineRule="auto"/>
        <w:jc w:val="both"/>
        <w:rPr/>
      </w:pPr>
      <w:r w:rsidDel="00000000" w:rsidR="00000000" w:rsidRPr="00000000">
        <w:rPr>
          <w:rtl w:val="0"/>
        </w:rPr>
      </w:r>
    </w:p>
    <w:p w:rsidR="00000000" w:rsidDel="00000000" w:rsidP="00000000" w:rsidRDefault="00000000" w:rsidRPr="00000000" w14:paraId="0000001D">
      <w:pPr>
        <w:spacing w:after="60" w:line="240" w:lineRule="auto"/>
        <w:jc w:val="both"/>
        <w:rPr>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after="60" w:line="240" w:lineRule="auto"/>
        <w:jc w:val="both"/>
        <w:rPr>
          <w:highlight w:val="yellow"/>
        </w:rPr>
      </w:pPr>
      <w:r w:rsidDel="00000000" w:rsidR="00000000" w:rsidRPr="00000000">
        <w:rPr>
          <w:rtl w:val="0"/>
        </w:rPr>
      </w:r>
    </w:p>
    <w:p w:rsidR="00000000" w:rsidDel="00000000" w:rsidP="00000000" w:rsidRDefault="00000000" w:rsidRPr="00000000" w14:paraId="0000001F">
      <w:pPr>
        <w:pStyle w:val="Title"/>
        <w:spacing w:after="120" w:line="240" w:lineRule="auto"/>
        <w:ind w:left="0" w:firstLine="0"/>
        <w:jc w:val="center"/>
        <w:rPr/>
      </w:pPr>
      <w:bookmarkStart w:colFirst="0" w:colLast="0" w:name="_heading=h.3dy6vkm" w:id="6"/>
      <w:bookmarkEnd w:id="6"/>
      <w:r w:rsidDel="00000000" w:rsidR="00000000" w:rsidRPr="00000000">
        <w:rPr>
          <w:rtl w:val="0"/>
        </w:rPr>
        <w:t xml:space="preserve">Table des matières</w:t>
      </w:r>
    </w:p>
    <w:p w:rsidR="00000000" w:rsidDel="00000000" w:rsidP="00000000" w:rsidRDefault="00000000" w:rsidRPr="00000000" w14:paraId="00000020">
      <w:pPr>
        <w:spacing w:line="24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widowControl w:val="0"/>
            <w:tabs>
              <w:tab w:val="right" w:leader="none" w:pos="12000"/>
            </w:tabs>
            <w:spacing w:after="0" w:before="60" w:lineRule="auto"/>
            <w:jc w:val="left"/>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t3h5sf">
            <w:r w:rsidDel="00000000" w:rsidR="00000000" w:rsidRPr="00000000">
              <w:rPr>
                <w:b w:val="1"/>
                <w:i w:val="0"/>
                <w:smallCaps w:val="0"/>
                <w:strike w:val="0"/>
                <w:color w:val="000000"/>
                <w:sz w:val="22"/>
                <w:szCs w:val="22"/>
                <w:u w:val="none"/>
                <w:shd w:fill="auto" w:val="clear"/>
                <w:vertAlign w:val="baseline"/>
                <w:rtl w:val="0"/>
              </w:rPr>
              <w:t xml:space="preserve">1. CONTEXTE ET OBJECTIFS</w:t>
              <w:tab/>
              <w:t xml:space="preserve">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Rule="auto"/>
            <w:ind w:left="360" w:firstLine="0"/>
            <w:jc w:val="left"/>
            <w:rPr>
              <w:i w:val="0"/>
              <w:smallCaps w:val="0"/>
              <w:strike w:val="0"/>
              <w:color w:val="000000"/>
              <w:sz w:val="22"/>
              <w:szCs w:val="22"/>
              <w:u w:val="none"/>
              <w:shd w:fill="auto" w:val="clear"/>
              <w:vertAlign w:val="baseline"/>
            </w:rPr>
          </w:pPr>
          <w:hyperlink w:anchor="_heading=h.z59teeg49c43">
            <w:r w:rsidDel="00000000" w:rsidR="00000000" w:rsidRPr="00000000">
              <w:rPr>
                <w:i w:val="0"/>
                <w:smallCaps w:val="0"/>
                <w:strike w:val="0"/>
                <w:color w:val="000000"/>
                <w:sz w:val="22"/>
                <w:szCs w:val="22"/>
                <w:u w:val="none"/>
                <w:shd w:fill="auto" w:val="clear"/>
                <w:vertAlign w:val="baseline"/>
                <w:rtl w:val="0"/>
              </w:rPr>
              <w:t xml:space="preserve">1.1 Le Health Data Hub et le Catalogue du SNDS</w:t>
            </w:r>
          </w:hyperlink>
          <w:hyperlink w:anchor="_heading=h.z59teeg49c43">
            <w:r w:rsidDel="00000000" w:rsidR="00000000" w:rsidRPr="00000000">
              <w:rPr>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_heading=h.z59teeg49c43 \h </w:instrText>
            <w:fldChar w:fldCharType="separate"/>
          </w:r>
          <w:r w:rsidDel="00000000" w:rsidR="00000000" w:rsidRPr="00000000">
            <w:rPr>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Rule="auto"/>
            <w:ind w:left="360" w:firstLine="0"/>
            <w:jc w:val="left"/>
            <w:rPr>
              <w:i w:val="0"/>
              <w:smallCaps w:val="0"/>
              <w:strike w:val="0"/>
              <w:color w:val="000000"/>
              <w:sz w:val="22"/>
              <w:szCs w:val="22"/>
              <w:u w:val="none"/>
              <w:shd w:fill="auto" w:val="clear"/>
              <w:vertAlign w:val="baseline"/>
            </w:rPr>
          </w:pPr>
          <w:hyperlink w:anchor="_heading=h.6lort1kiqsv7">
            <w:r w:rsidDel="00000000" w:rsidR="00000000" w:rsidRPr="00000000">
              <w:rPr>
                <w:i w:val="0"/>
                <w:smallCaps w:val="0"/>
                <w:strike w:val="0"/>
                <w:color w:val="000000"/>
                <w:sz w:val="22"/>
                <w:szCs w:val="22"/>
                <w:u w:val="none"/>
                <w:shd w:fill="auto" w:val="clear"/>
                <w:vertAlign w:val="baseline"/>
                <w:rtl w:val="0"/>
              </w:rPr>
              <w:t xml:space="preserve">1.2 Un appel à projets pour accélérer l’usage du Catalogue du SNDS</w:t>
              <w:tab/>
              <w:t xml:space="preserve">3</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Rule="auto"/>
            <w:ind w:left="360" w:firstLine="0"/>
            <w:jc w:val="left"/>
            <w:rPr>
              <w:i w:val="0"/>
              <w:smallCaps w:val="0"/>
              <w:strike w:val="0"/>
              <w:color w:val="000000"/>
              <w:sz w:val="22"/>
              <w:szCs w:val="22"/>
              <w:u w:val="none"/>
              <w:shd w:fill="auto" w:val="clear"/>
              <w:vertAlign w:val="baseline"/>
            </w:rPr>
          </w:pPr>
          <w:hyperlink w:anchor="_heading=h.k6nawfhv69y1">
            <w:r w:rsidDel="00000000" w:rsidR="00000000" w:rsidRPr="00000000">
              <w:rPr>
                <w:i w:val="0"/>
                <w:smallCaps w:val="0"/>
                <w:strike w:val="0"/>
                <w:color w:val="000000"/>
                <w:sz w:val="22"/>
                <w:szCs w:val="22"/>
                <w:u w:val="none"/>
                <w:shd w:fill="auto" w:val="clear"/>
                <w:vertAlign w:val="baseline"/>
                <w:rtl w:val="0"/>
              </w:rPr>
              <w:t xml:space="preserve">1.3 Un accompagnement technologique et financier pour les lauréats</w:t>
              <w:tab/>
              <w:t xml:space="preserve">3</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Rule="auto"/>
            <w:ind w:left="360" w:firstLine="0"/>
            <w:jc w:val="left"/>
            <w:rPr>
              <w:i w:val="0"/>
              <w:smallCaps w:val="0"/>
              <w:strike w:val="0"/>
              <w:color w:val="000000"/>
              <w:sz w:val="22"/>
              <w:szCs w:val="22"/>
              <w:u w:val="none"/>
              <w:shd w:fill="auto" w:val="clear"/>
              <w:vertAlign w:val="baseline"/>
            </w:rPr>
          </w:pPr>
          <w:hyperlink w:anchor="_heading=h.xgknft9ukg2m">
            <w:r w:rsidDel="00000000" w:rsidR="00000000" w:rsidRPr="00000000">
              <w:rPr>
                <w:i w:val="0"/>
                <w:smallCaps w:val="0"/>
                <w:strike w:val="0"/>
                <w:color w:val="000000"/>
                <w:sz w:val="22"/>
                <w:szCs w:val="22"/>
                <w:u w:val="none"/>
                <w:shd w:fill="auto" w:val="clear"/>
                <w:vertAlign w:val="baseline"/>
                <w:rtl w:val="0"/>
              </w:rPr>
              <w:t xml:space="preserve">1.4 Les bases de données mises à disposition</w:t>
              <w:tab/>
              <w:t xml:space="preserve">4</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Rule="auto"/>
            <w:jc w:val="left"/>
            <w:rPr>
              <w:b w:val="1"/>
              <w:i w:val="0"/>
              <w:smallCaps w:val="0"/>
              <w:strike w:val="0"/>
              <w:color w:val="000000"/>
              <w:sz w:val="22"/>
              <w:szCs w:val="22"/>
              <w:u w:val="none"/>
              <w:shd w:fill="auto" w:val="clear"/>
              <w:vertAlign w:val="baseline"/>
            </w:rPr>
          </w:pPr>
          <w:hyperlink w:anchor="_heading=h.44sinio">
            <w:r w:rsidDel="00000000" w:rsidR="00000000" w:rsidRPr="00000000">
              <w:rPr>
                <w:b w:val="1"/>
                <w:i w:val="0"/>
                <w:smallCaps w:val="0"/>
                <w:strike w:val="0"/>
                <w:color w:val="000000"/>
                <w:sz w:val="22"/>
                <w:szCs w:val="22"/>
                <w:u w:val="none"/>
                <w:shd w:fill="auto" w:val="clear"/>
                <w:vertAlign w:val="baseline"/>
                <w:rtl w:val="0"/>
              </w:rPr>
              <w:t xml:space="preserve">2. CRITERES D’ELIGIBILITE</w:t>
              <w:tab/>
              <w:t xml:space="preserve">7</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Rule="auto"/>
            <w:jc w:val="left"/>
            <w:rPr>
              <w:b w:val="1"/>
              <w:i w:val="0"/>
              <w:smallCaps w:val="0"/>
              <w:strike w:val="0"/>
              <w:color w:val="000000"/>
              <w:sz w:val="22"/>
              <w:szCs w:val="22"/>
              <w:u w:val="none"/>
              <w:shd w:fill="auto" w:val="clear"/>
              <w:vertAlign w:val="baseline"/>
            </w:rPr>
          </w:pPr>
          <w:hyperlink w:anchor="_heading=h.2jxsxqh">
            <w:r w:rsidDel="00000000" w:rsidR="00000000" w:rsidRPr="00000000">
              <w:rPr>
                <w:b w:val="1"/>
                <w:i w:val="0"/>
                <w:smallCaps w:val="0"/>
                <w:strike w:val="0"/>
                <w:color w:val="000000"/>
                <w:sz w:val="22"/>
                <w:szCs w:val="22"/>
                <w:u w:val="none"/>
                <w:shd w:fill="auto" w:val="clear"/>
                <w:vertAlign w:val="baseline"/>
                <w:rtl w:val="0"/>
              </w:rPr>
              <w:t xml:space="preserve">3. CRITERES DE SELECTION</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Rule="auto"/>
            <w:jc w:val="left"/>
            <w:rPr>
              <w:b w:val="1"/>
              <w:i w:val="0"/>
              <w:smallCaps w:val="0"/>
              <w:strike w:val="0"/>
              <w:color w:val="000000"/>
              <w:sz w:val="22"/>
              <w:szCs w:val="22"/>
              <w:u w:val="none"/>
              <w:shd w:fill="auto" w:val="clear"/>
              <w:vertAlign w:val="baseline"/>
            </w:rPr>
          </w:pPr>
          <w:hyperlink w:anchor="_heading=h.2bn6wsx">
            <w:r w:rsidDel="00000000" w:rsidR="00000000" w:rsidRPr="00000000">
              <w:rPr>
                <w:b w:val="1"/>
                <w:i w:val="0"/>
                <w:smallCaps w:val="0"/>
                <w:strike w:val="0"/>
                <w:color w:val="000000"/>
                <w:sz w:val="22"/>
                <w:szCs w:val="22"/>
                <w:u w:val="none"/>
                <w:shd w:fill="auto" w:val="clear"/>
                <w:vertAlign w:val="baseline"/>
                <w:rtl w:val="0"/>
              </w:rPr>
              <w:t xml:space="preserve">4. PROCESSUS DE SÉLECTION</w:t>
            </w:r>
          </w:hyperlink>
          <w:hyperlink w:anchor="_heading=h.2bn6wsx">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Rule="auto"/>
            <w:jc w:val="left"/>
            <w:rPr>
              <w:b w:val="1"/>
              <w:i w:val="0"/>
              <w:smallCaps w:val="0"/>
              <w:strike w:val="0"/>
              <w:color w:val="000000"/>
              <w:sz w:val="22"/>
              <w:szCs w:val="22"/>
              <w:u w:val="none"/>
              <w:shd w:fill="auto" w:val="clear"/>
              <w:vertAlign w:val="baseline"/>
            </w:rPr>
          </w:pPr>
          <w:hyperlink w:anchor="_heading=h.qsh70q">
            <w:r w:rsidDel="00000000" w:rsidR="00000000" w:rsidRPr="00000000">
              <w:rPr>
                <w:b w:val="1"/>
                <w:i w:val="0"/>
                <w:smallCaps w:val="0"/>
                <w:strike w:val="0"/>
                <w:color w:val="000000"/>
                <w:sz w:val="22"/>
                <w:szCs w:val="22"/>
                <w:u w:val="none"/>
                <w:shd w:fill="auto" w:val="clear"/>
                <w:vertAlign w:val="baseline"/>
                <w:rtl w:val="0"/>
              </w:rPr>
              <w:t xml:space="preserve">5. ACCOMPAGNEMENT</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Rule="auto"/>
            <w:ind w:left="360" w:firstLine="0"/>
            <w:jc w:val="left"/>
            <w:rPr>
              <w:i w:val="0"/>
              <w:smallCaps w:val="0"/>
              <w:strike w:val="0"/>
              <w:color w:val="000000"/>
              <w:sz w:val="22"/>
              <w:szCs w:val="22"/>
              <w:u w:val="none"/>
              <w:shd w:fill="auto" w:val="clear"/>
              <w:vertAlign w:val="baseline"/>
            </w:rPr>
          </w:pPr>
          <w:hyperlink w:anchor="_heading=h.3as4poj">
            <w:r w:rsidDel="00000000" w:rsidR="00000000" w:rsidRPr="00000000">
              <w:rPr>
                <w:i w:val="0"/>
                <w:smallCaps w:val="0"/>
                <w:strike w:val="0"/>
                <w:color w:val="000000"/>
                <w:sz w:val="22"/>
                <w:szCs w:val="22"/>
                <w:u w:val="none"/>
                <w:shd w:fill="auto" w:val="clear"/>
                <w:vertAlign w:val="baseline"/>
                <w:rtl w:val="0"/>
              </w:rPr>
              <w:t xml:space="preserve">5.1 Health Data Hub</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Rule="auto"/>
            <w:jc w:val="left"/>
            <w:rPr>
              <w:b w:val="1"/>
              <w:i w:val="0"/>
              <w:smallCaps w:val="0"/>
              <w:strike w:val="0"/>
              <w:color w:val="000000"/>
              <w:sz w:val="22"/>
              <w:szCs w:val="22"/>
              <w:u w:val="none"/>
              <w:shd w:fill="auto" w:val="clear"/>
              <w:vertAlign w:val="baseline"/>
            </w:rPr>
          </w:pPr>
          <w:hyperlink w:anchor="_heading=h.1pxezwc">
            <w:r w:rsidDel="00000000" w:rsidR="00000000" w:rsidRPr="00000000">
              <w:rPr>
                <w:b w:val="1"/>
                <w:i w:val="0"/>
                <w:smallCaps w:val="0"/>
                <w:strike w:val="0"/>
                <w:color w:val="000000"/>
                <w:sz w:val="22"/>
                <w:szCs w:val="22"/>
                <w:u w:val="none"/>
                <w:shd w:fill="auto" w:val="clear"/>
                <w:vertAlign w:val="baseline"/>
                <w:rtl w:val="0"/>
              </w:rPr>
              <w:t xml:space="preserve">6. FINANCEMENT</w:t>
            </w:r>
          </w:hyperlink>
          <w:hyperlink w:anchor="_heading=h.1pxezwc">
            <w:r w:rsidDel="00000000" w:rsidR="00000000" w:rsidRPr="00000000">
              <w:rPr>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b w:val="1"/>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Rule="auto"/>
            <w:ind w:left="360" w:firstLine="0"/>
            <w:jc w:val="left"/>
            <w:rPr>
              <w:i w:val="0"/>
              <w:smallCaps w:val="0"/>
              <w:strike w:val="0"/>
              <w:color w:val="000000"/>
              <w:sz w:val="22"/>
              <w:szCs w:val="22"/>
              <w:u w:val="none"/>
              <w:shd w:fill="auto" w:val="clear"/>
              <w:vertAlign w:val="baseline"/>
            </w:rPr>
          </w:pPr>
          <w:hyperlink w:anchor="_heading=h.49x2ik5">
            <w:r w:rsidDel="00000000" w:rsidR="00000000" w:rsidRPr="00000000">
              <w:rPr>
                <w:i w:val="0"/>
                <w:smallCaps w:val="0"/>
                <w:strike w:val="0"/>
                <w:color w:val="000000"/>
                <w:sz w:val="22"/>
                <w:szCs w:val="22"/>
                <w:u w:val="none"/>
                <w:shd w:fill="auto" w:val="clear"/>
                <w:vertAlign w:val="baseline"/>
                <w:rtl w:val="0"/>
              </w:rPr>
              <w:t xml:space="preserve">6.1 Health Data Hub</w:t>
              <w:tab/>
              <w:t xml:space="preserve">10</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Rule="auto"/>
            <w:ind w:left="720" w:firstLine="0"/>
            <w:jc w:val="left"/>
            <w:rPr>
              <w:i w:val="0"/>
              <w:smallCaps w:val="0"/>
              <w:strike w:val="0"/>
              <w:color w:val="000000"/>
              <w:sz w:val="22"/>
              <w:szCs w:val="22"/>
              <w:u w:val="none"/>
              <w:shd w:fill="auto" w:val="clear"/>
              <w:vertAlign w:val="baseline"/>
            </w:rPr>
          </w:pPr>
          <w:hyperlink w:anchor="_heading=h.2p2csry">
            <w:r w:rsidDel="00000000" w:rsidR="00000000" w:rsidRPr="00000000">
              <w:rPr>
                <w:i w:val="0"/>
                <w:smallCaps w:val="0"/>
                <w:strike w:val="0"/>
                <w:color w:val="000000"/>
                <w:sz w:val="22"/>
                <w:szCs w:val="22"/>
                <w:u w:val="none"/>
                <w:shd w:fill="auto" w:val="clear"/>
                <w:vertAlign w:val="baseline"/>
                <w:rtl w:val="0"/>
              </w:rPr>
              <w:t xml:space="preserve">6.1.1 Coûts éligibles et retenus</w:t>
              <w:tab/>
              <w:t xml:space="preserve">10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Rule="auto"/>
            <w:ind w:left="720" w:firstLine="0"/>
            <w:jc w:val="left"/>
            <w:rPr>
              <w:i w:val="0"/>
              <w:smallCaps w:val="0"/>
              <w:strike w:val="0"/>
              <w:color w:val="000000"/>
              <w:sz w:val="22"/>
              <w:szCs w:val="22"/>
              <w:u w:val="none"/>
              <w:shd w:fill="auto" w:val="clear"/>
              <w:vertAlign w:val="baseline"/>
            </w:rPr>
          </w:pPr>
          <w:hyperlink w:anchor="_heading=h.147n2zr">
            <w:r w:rsidDel="00000000" w:rsidR="00000000" w:rsidRPr="00000000">
              <w:rPr>
                <w:i w:val="0"/>
                <w:smallCaps w:val="0"/>
                <w:strike w:val="0"/>
                <w:color w:val="000000"/>
                <w:sz w:val="22"/>
                <w:szCs w:val="22"/>
                <w:u w:val="none"/>
                <w:shd w:fill="auto" w:val="clear"/>
                <w:vertAlign w:val="baseline"/>
                <w:rtl w:val="0"/>
              </w:rPr>
              <w:t xml:space="preserve">6.1.2 Intensité et modalité du financement</w:t>
              <w:tab/>
              <w:t xml:space="preserve">11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Rule="auto"/>
            <w:ind w:left="720" w:firstLine="0"/>
            <w:jc w:val="left"/>
            <w:rPr>
              <w:i w:val="0"/>
              <w:smallCaps w:val="0"/>
              <w:strike w:val="0"/>
              <w:color w:val="000000"/>
              <w:sz w:val="22"/>
              <w:szCs w:val="22"/>
              <w:u w:val="none"/>
              <w:shd w:fill="auto" w:val="clear"/>
              <w:vertAlign w:val="baseline"/>
            </w:rPr>
          </w:pPr>
          <w:hyperlink w:anchor="_heading=h.3o7alnk">
            <w:r w:rsidDel="00000000" w:rsidR="00000000" w:rsidRPr="00000000">
              <w:rPr>
                <w:i w:val="0"/>
                <w:smallCaps w:val="0"/>
                <w:strike w:val="0"/>
                <w:color w:val="000000"/>
                <w:sz w:val="22"/>
                <w:szCs w:val="22"/>
                <w:u w:val="none"/>
                <w:shd w:fill="auto" w:val="clear"/>
                <w:vertAlign w:val="baseline"/>
                <w:rtl w:val="0"/>
              </w:rPr>
              <w:t xml:space="preserve">6.1.3 Conventionnement</w:t>
              <w:tab/>
              <w:t xml:space="preserve">11</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Rule="auto"/>
            <w:ind w:left="720" w:firstLine="0"/>
            <w:jc w:val="left"/>
            <w:rPr>
              <w:i w:val="0"/>
              <w:smallCaps w:val="0"/>
              <w:strike w:val="0"/>
              <w:color w:val="000000"/>
              <w:sz w:val="22"/>
              <w:szCs w:val="22"/>
              <w:u w:val="none"/>
              <w:shd w:fill="auto" w:val="clear"/>
              <w:vertAlign w:val="baseline"/>
            </w:rPr>
          </w:pPr>
          <w:hyperlink w:anchor="_heading=h.23ckvvd">
            <w:r w:rsidDel="00000000" w:rsidR="00000000" w:rsidRPr="00000000">
              <w:rPr>
                <w:i w:val="0"/>
                <w:smallCaps w:val="0"/>
                <w:strike w:val="0"/>
                <w:color w:val="000000"/>
                <w:sz w:val="22"/>
                <w:szCs w:val="22"/>
                <w:u w:val="none"/>
                <w:shd w:fill="auto" w:val="clear"/>
                <w:vertAlign w:val="baseline"/>
                <w:rtl w:val="0"/>
              </w:rPr>
              <w:t xml:space="preserve">6.1.4 Versement du financement</w:t>
              <w:tab/>
              <w:t xml:space="preserve">11</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Rule="auto"/>
            <w:ind w:left="720" w:firstLine="0"/>
            <w:jc w:val="left"/>
            <w:rPr>
              <w:i w:val="0"/>
              <w:smallCaps w:val="0"/>
              <w:strike w:val="0"/>
              <w:color w:val="000000"/>
              <w:sz w:val="22"/>
              <w:szCs w:val="22"/>
              <w:u w:val="none"/>
              <w:shd w:fill="auto" w:val="clear"/>
              <w:vertAlign w:val="baseline"/>
            </w:rPr>
          </w:pPr>
          <w:hyperlink w:anchor="_heading=h.ihv636">
            <w:r w:rsidDel="00000000" w:rsidR="00000000" w:rsidRPr="00000000">
              <w:rPr>
                <w:i w:val="0"/>
                <w:smallCaps w:val="0"/>
                <w:strike w:val="0"/>
                <w:color w:val="000000"/>
                <w:sz w:val="22"/>
                <w:szCs w:val="22"/>
                <w:u w:val="none"/>
                <w:shd w:fill="auto" w:val="clear"/>
                <w:vertAlign w:val="baseline"/>
                <w:rtl w:val="0"/>
              </w:rPr>
              <w:t xml:space="preserve">6.1.5 Rapport final</w:t>
              <w:tab/>
              <w:t xml:space="preserve">12</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Rule="auto"/>
            <w:jc w:val="left"/>
            <w:rPr>
              <w:b w:val="1"/>
              <w:i w:val="0"/>
              <w:smallCaps w:val="0"/>
              <w:strike w:val="0"/>
              <w:color w:val="000000"/>
              <w:sz w:val="22"/>
              <w:szCs w:val="22"/>
              <w:u w:val="none"/>
              <w:shd w:fill="auto" w:val="clear"/>
              <w:vertAlign w:val="baseline"/>
            </w:rPr>
          </w:pPr>
          <w:hyperlink w:anchor="_heading=h.32hioqz">
            <w:r w:rsidDel="00000000" w:rsidR="00000000" w:rsidRPr="00000000">
              <w:rPr>
                <w:b w:val="1"/>
                <w:i w:val="0"/>
                <w:smallCaps w:val="0"/>
                <w:strike w:val="0"/>
                <w:color w:val="000000"/>
                <w:sz w:val="22"/>
                <w:szCs w:val="22"/>
                <w:u w:val="none"/>
                <w:shd w:fill="auto" w:val="clear"/>
                <w:vertAlign w:val="baseline"/>
                <w:rtl w:val="0"/>
              </w:rPr>
              <w:t xml:space="preserve">7. CONFIDENTIALITE ET COMMUNICATION</w:t>
              <w:tab/>
              <w:t xml:space="preserve">12</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Rule="auto"/>
            <w:jc w:val="left"/>
            <w:rPr>
              <w:b w:val="1"/>
              <w:i w:val="0"/>
              <w:smallCaps w:val="0"/>
              <w:strike w:val="0"/>
              <w:color w:val="000000"/>
              <w:sz w:val="22"/>
              <w:szCs w:val="22"/>
              <w:u w:val="none"/>
              <w:shd w:fill="auto" w:val="clear"/>
              <w:vertAlign w:val="baseline"/>
            </w:rPr>
          </w:pPr>
          <w:hyperlink w:anchor="_heading=h.1hmsyys">
            <w:r w:rsidDel="00000000" w:rsidR="00000000" w:rsidRPr="00000000">
              <w:rPr>
                <w:b w:val="1"/>
                <w:i w:val="0"/>
                <w:smallCaps w:val="0"/>
                <w:strike w:val="0"/>
                <w:color w:val="000000"/>
                <w:sz w:val="22"/>
                <w:szCs w:val="22"/>
                <w:u w:val="none"/>
                <w:shd w:fill="auto" w:val="clear"/>
                <w:vertAlign w:val="baseline"/>
                <w:rtl w:val="0"/>
              </w:rPr>
              <w:t xml:space="preserve">8. SOUMISSION DES PROJETS</w:t>
              <w:tab/>
              <w:t xml:space="preserve">13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spacing w:after="120" w:line="240" w:lineRule="auto"/>
        <w:ind w:left="0" w:firstLine="0"/>
        <w:jc w:val="both"/>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rPr/>
      </w:pPr>
      <w:bookmarkStart w:colFirst="0" w:colLast="0" w:name="_heading=h.1t3h5sf" w:id="7"/>
      <w:bookmarkEnd w:id="7"/>
      <w:r w:rsidDel="00000000" w:rsidR="00000000" w:rsidRPr="00000000">
        <w:rPr>
          <w:rtl w:val="0"/>
        </w:rPr>
        <w:t xml:space="preserve">1. CONTEXTE ET OBJECTIFS</w:t>
      </w:r>
    </w:p>
    <w:p w:rsidR="00000000" w:rsidDel="00000000" w:rsidP="00000000" w:rsidRDefault="00000000" w:rsidRPr="00000000" w14:paraId="00000036">
      <w:pPr>
        <w:pStyle w:val="Heading2"/>
        <w:rPr/>
      </w:pPr>
      <w:bookmarkStart w:colFirst="0" w:colLast="0" w:name="_heading=h.z59teeg49c43" w:id="8"/>
      <w:bookmarkEnd w:id="8"/>
      <w:r w:rsidDel="00000000" w:rsidR="00000000" w:rsidRPr="00000000">
        <w:rPr>
          <w:rtl w:val="0"/>
        </w:rPr>
        <w:t xml:space="preserve">1.1 Le Health Data Hub et le Catalogue du SNDS</w:t>
      </w:r>
    </w:p>
    <w:p w:rsidR="00000000" w:rsidDel="00000000" w:rsidP="00000000" w:rsidRDefault="00000000" w:rsidRPr="00000000" w14:paraId="00000037">
      <w:pPr>
        <w:shd w:fill="ffffff" w:val="clear"/>
        <w:spacing w:after="200" w:before="0" w:lineRule="auto"/>
        <w:rPr>
          <w:color w:val="222222"/>
        </w:rPr>
      </w:pPr>
      <w:r w:rsidDel="00000000" w:rsidR="00000000" w:rsidRPr="00000000">
        <w:rPr>
          <w:color w:val="222222"/>
          <w:rtl w:val="0"/>
        </w:rPr>
        <w:t xml:space="preserve">Le </w:t>
      </w:r>
      <w:r w:rsidDel="00000000" w:rsidR="00000000" w:rsidRPr="00000000">
        <w:rPr>
          <w:b w:val="1"/>
          <w:color w:val="222222"/>
          <w:rtl w:val="0"/>
        </w:rPr>
        <w:t xml:space="preserve">Health Data Hub (HDH)</w:t>
      </w:r>
      <w:r w:rsidDel="00000000" w:rsidR="00000000" w:rsidRPr="00000000">
        <w:rPr>
          <w:color w:val="222222"/>
          <w:rtl w:val="0"/>
        </w:rPr>
        <w:t xml:space="preserve"> a pour mission de </w:t>
      </w:r>
      <w:r w:rsidDel="00000000" w:rsidR="00000000" w:rsidRPr="00000000">
        <w:rPr>
          <w:b w:val="1"/>
          <w:color w:val="222222"/>
          <w:rtl w:val="0"/>
        </w:rPr>
        <w:t xml:space="preserve">faciliter et sécuriser l’accès aux données de santé</w:t>
      </w:r>
      <w:r w:rsidDel="00000000" w:rsidR="00000000" w:rsidRPr="00000000">
        <w:rPr>
          <w:color w:val="222222"/>
          <w:rtl w:val="0"/>
        </w:rPr>
        <w:t xml:space="preserve">, dans un cadre respectueux du droit des patients et avec une transparence envers la société civile. Parmi ses initiatives structurantes, le </w:t>
      </w:r>
      <w:r w:rsidDel="00000000" w:rsidR="00000000" w:rsidRPr="00000000">
        <w:rPr>
          <w:b w:val="1"/>
          <w:color w:val="222222"/>
          <w:rtl w:val="0"/>
        </w:rPr>
        <w:t xml:space="preserve">Catalogue du SNDS</w:t>
      </w:r>
      <w:r w:rsidDel="00000000" w:rsidR="00000000" w:rsidRPr="00000000">
        <w:rPr>
          <w:color w:val="222222"/>
          <w:rtl w:val="0"/>
        </w:rPr>
        <w:t xml:space="preserve"> représente une avancée majeure pour l’écosystème de la recherche en santé.</w:t>
      </w:r>
    </w:p>
    <w:p w:rsidR="00000000" w:rsidDel="00000000" w:rsidP="00000000" w:rsidRDefault="00000000" w:rsidRPr="00000000" w14:paraId="00000038">
      <w:pPr>
        <w:shd w:fill="ffffff" w:val="clear"/>
        <w:spacing w:after="200" w:before="0" w:lineRule="auto"/>
        <w:rPr>
          <w:color w:val="222222"/>
        </w:rPr>
      </w:pPr>
      <w:r w:rsidDel="00000000" w:rsidR="00000000" w:rsidRPr="00000000">
        <w:rPr>
          <w:color w:val="222222"/>
          <w:rtl w:val="0"/>
        </w:rPr>
        <w:t xml:space="preserve">Le </w:t>
      </w:r>
      <w:r w:rsidDel="00000000" w:rsidR="00000000" w:rsidRPr="00000000">
        <w:rPr>
          <w:b w:val="1"/>
          <w:color w:val="222222"/>
          <w:rtl w:val="0"/>
        </w:rPr>
        <w:t xml:space="preserve">Catalogue du SNDS</w:t>
      </w:r>
      <w:r w:rsidDel="00000000" w:rsidR="00000000" w:rsidRPr="00000000">
        <w:rPr>
          <w:color w:val="222222"/>
          <w:rtl w:val="0"/>
        </w:rPr>
        <w:t xml:space="preserve"> rassemble des </w:t>
      </w:r>
      <w:r w:rsidDel="00000000" w:rsidR="00000000" w:rsidRPr="00000000">
        <w:rPr>
          <w:b w:val="1"/>
          <w:color w:val="222222"/>
          <w:rtl w:val="0"/>
        </w:rPr>
        <w:t xml:space="preserve">copies de bases de données d’intérêt pour la recherche</w:t>
      </w:r>
      <w:r w:rsidDel="00000000" w:rsidR="00000000" w:rsidRPr="00000000">
        <w:rPr>
          <w:color w:val="222222"/>
          <w:rtl w:val="0"/>
        </w:rPr>
        <w:t xml:space="preserve">, qui peuvent être </w:t>
      </w:r>
      <w:r w:rsidDel="00000000" w:rsidR="00000000" w:rsidRPr="00000000">
        <w:rPr>
          <w:b w:val="1"/>
          <w:color w:val="222222"/>
          <w:rtl w:val="0"/>
        </w:rPr>
        <w:t xml:space="preserve">appariées à la base principale du SNDS</w:t>
      </w:r>
      <w:r w:rsidDel="00000000" w:rsidR="00000000" w:rsidRPr="00000000">
        <w:rPr>
          <w:color w:val="222222"/>
          <w:rtl w:val="0"/>
        </w:rPr>
        <w:t xml:space="preserve">, lorsque cela est possible. Il permet ainsi aux porteurs de projets d’accéder à des </w:t>
      </w:r>
      <w:r w:rsidDel="00000000" w:rsidR="00000000" w:rsidRPr="00000000">
        <w:rPr>
          <w:b w:val="1"/>
          <w:color w:val="222222"/>
          <w:rtl w:val="0"/>
        </w:rPr>
        <w:t xml:space="preserve">données structurées et documentées</w:t>
      </w:r>
      <w:r w:rsidDel="00000000" w:rsidR="00000000" w:rsidRPr="00000000">
        <w:rPr>
          <w:color w:val="222222"/>
          <w:rtl w:val="0"/>
        </w:rPr>
        <w:t xml:space="preserve">, tout en bénéficiant d’un cadre d’accès simplifié et harmonisé. Ce dispositif a été construit de manière itérative avec les acteurs producteurs de données et constitue aujourd’hui un </w:t>
      </w:r>
      <w:r w:rsidDel="00000000" w:rsidR="00000000" w:rsidRPr="00000000">
        <w:rPr>
          <w:b w:val="1"/>
          <w:color w:val="222222"/>
          <w:rtl w:val="0"/>
        </w:rPr>
        <w:t xml:space="preserve">levier clé pour le développement de projets innovants en santé publique, épidémiologie et intelligence artificielle appliquée à la santé</w:t>
      </w:r>
      <w:r w:rsidDel="00000000" w:rsidR="00000000" w:rsidRPr="00000000">
        <w:rPr>
          <w:color w:val="222222"/>
          <w:rtl w:val="0"/>
        </w:rPr>
        <w:t xml:space="preserve">.</w:t>
      </w:r>
    </w:p>
    <w:p w:rsidR="00000000" w:rsidDel="00000000" w:rsidP="00000000" w:rsidRDefault="00000000" w:rsidRPr="00000000" w14:paraId="00000039">
      <w:pPr>
        <w:shd w:fill="ffffff" w:val="clear"/>
        <w:spacing w:after="200" w:before="0" w:lineRule="auto"/>
        <w:rPr>
          <w:color w:val="222222"/>
        </w:rPr>
      </w:pPr>
      <w:r w:rsidDel="00000000" w:rsidR="00000000" w:rsidRPr="00000000">
        <w:rPr>
          <w:color w:val="222222"/>
          <w:rtl w:val="0"/>
        </w:rPr>
        <w:t xml:space="preserve">Lancé après plusieurs années de travail et de concertation, le </w:t>
      </w:r>
      <w:r w:rsidDel="00000000" w:rsidR="00000000" w:rsidRPr="00000000">
        <w:rPr>
          <w:b w:val="1"/>
          <w:color w:val="222222"/>
          <w:rtl w:val="0"/>
        </w:rPr>
        <w:t xml:space="preserve">Catalogue du SNDS s’inscrit désormais dans un cadre réglementaire stabilisé</w:t>
      </w:r>
      <w:r w:rsidDel="00000000" w:rsidR="00000000" w:rsidRPr="00000000">
        <w:rPr>
          <w:color w:val="222222"/>
          <w:rtl w:val="0"/>
        </w:rPr>
        <w:t xml:space="preserve">, avec une première liste de </w:t>
      </w:r>
      <w:r w:rsidDel="00000000" w:rsidR="00000000" w:rsidRPr="00000000">
        <w:rPr>
          <w:b w:val="1"/>
          <w:color w:val="222222"/>
          <w:rtl w:val="0"/>
        </w:rPr>
        <w:t xml:space="preserve">22 bases de données inscrites par arrêté ministériel</w:t>
      </w:r>
      <w:r w:rsidDel="00000000" w:rsidR="00000000" w:rsidRPr="00000000">
        <w:rPr>
          <w:color w:val="222222"/>
          <w:rtl w:val="0"/>
        </w:rPr>
        <w:t xml:space="preserve"> et sélectionnées selon leur </w:t>
      </w:r>
      <w:r w:rsidDel="00000000" w:rsidR="00000000" w:rsidRPr="00000000">
        <w:rPr>
          <w:b w:val="1"/>
          <w:color w:val="222222"/>
          <w:rtl w:val="0"/>
        </w:rPr>
        <w:t xml:space="preserve">pertinence scientifique, leur qualité et leur potentiel d’impact sur le système de santé</w:t>
      </w:r>
      <w:r w:rsidDel="00000000" w:rsidR="00000000" w:rsidRPr="00000000">
        <w:rPr>
          <w:color w:val="222222"/>
          <w:rtl w:val="0"/>
        </w:rPr>
        <w:t xml:space="preserve">.</w:t>
      </w:r>
    </w:p>
    <w:p w:rsidR="00000000" w:rsidDel="00000000" w:rsidP="00000000" w:rsidRDefault="00000000" w:rsidRPr="00000000" w14:paraId="0000003A">
      <w:pPr>
        <w:shd w:fill="ffffff" w:val="clear"/>
        <w:spacing w:after="200" w:before="0" w:lineRule="auto"/>
        <w:rPr>
          <w:color w:val="222222"/>
        </w:rPr>
      </w:pPr>
      <w:r w:rsidDel="00000000" w:rsidR="00000000" w:rsidRPr="00000000">
        <w:rPr>
          <w:rtl w:val="0"/>
        </w:rPr>
      </w:r>
    </w:p>
    <w:p w:rsidR="00000000" w:rsidDel="00000000" w:rsidP="00000000" w:rsidRDefault="00000000" w:rsidRPr="00000000" w14:paraId="0000003B">
      <w:pPr>
        <w:pStyle w:val="Heading2"/>
        <w:rPr/>
      </w:pPr>
      <w:bookmarkStart w:colFirst="0" w:colLast="0" w:name="_heading=h.6lort1kiqsv7" w:id="9"/>
      <w:bookmarkEnd w:id="9"/>
      <w:r w:rsidDel="00000000" w:rsidR="00000000" w:rsidRPr="00000000">
        <w:rPr>
          <w:rtl w:val="0"/>
        </w:rPr>
        <w:t xml:space="preserve">1.2 Un appel à projets pour accélérer l’usage du Catalogue du SNDS</w:t>
      </w:r>
    </w:p>
    <w:p w:rsidR="00000000" w:rsidDel="00000000" w:rsidP="00000000" w:rsidRDefault="00000000" w:rsidRPr="00000000" w14:paraId="0000003C">
      <w:pPr>
        <w:shd w:fill="ffffff" w:val="clear"/>
        <w:spacing w:after="200" w:before="0" w:lineRule="auto"/>
        <w:rPr>
          <w:color w:val="222222"/>
        </w:rPr>
      </w:pPr>
      <w:r w:rsidDel="00000000" w:rsidR="00000000" w:rsidRPr="00000000">
        <w:rPr>
          <w:color w:val="222222"/>
          <w:rtl w:val="0"/>
        </w:rPr>
        <w:t xml:space="preserve">Afin de concrétiser et de valoriser l’apport du Catalogue du SNDS, le </w:t>
      </w:r>
      <w:r w:rsidDel="00000000" w:rsidR="00000000" w:rsidRPr="00000000">
        <w:rPr>
          <w:b w:val="1"/>
          <w:color w:val="222222"/>
          <w:rtl w:val="0"/>
        </w:rPr>
        <w:t xml:space="preserve">Health Data Hub lance un appel à manifestation d’intérêt (AMI)</w:t>
      </w:r>
      <w:r w:rsidDel="00000000" w:rsidR="00000000" w:rsidRPr="00000000">
        <w:rPr>
          <w:color w:val="222222"/>
          <w:rtl w:val="0"/>
        </w:rPr>
        <w:t xml:space="preserve"> pour </w:t>
      </w:r>
      <w:r w:rsidDel="00000000" w:rsidR="00000000" w:rsidRPr="00000000">
        <w:rPr>
          <w:b w:val="1"/>
          <w:color w:val="222222"/>
          <w:rtl w:val="0"/>
        </w:rPr>
        <w:t xml:space="preserve">soutenir des projets pilotes </w:t>
      </w:r>
      <w:r w:rsidDel="00000000" w:rsidR="00000000" w:rsidRPr="00000000">
        <w:rPr>
          <w:b w:val="1"/>
          <w:color w:val="222222"/>
          <w:rtl w:val="0"/>
        </w:rPr>
        <w:t xml:space="preserve">réutilisant</w:t>
      </w:r>
      <w:r w:rsidDel="00000000" w:rsidR="00000000" w:rsidRPr="00000000">
        <w:rPr>
          <w:b w:val="1"/>
          <w:color w:val="222222"/>
          <w:rtl w:val="0"/>
        </w:rPr>
        <w:t xml:space="preserve"> ces bases de données</w:t>
      </w:r>
      <w:r w:rsidDel="00000000" w:rsidR="00000000" w:rsidRPr="00000000">
        <w:rPr>
          <w:color w:val="222222"/>
          <w:rtl w:val="0"/>
        </w:rPr>
        <w:t xml:space="preserve">. Cet appel vise à </w:t>
      </w:r>
      <w:r w:rsidDel="00000000" w:rsidR="00000000" w:rsidRPr="00000000">
        <w:rPr>
          <w:b w:val="1"/>
          <w:color w:val="222222"/>
          <w:rtl w:val="0"/>
        </w:rPr>
        <w:t xml:space="preserve">démontrer l’intérêt scientifique et sociétal du partage de données de santé</w:t>
      </w:r>
      <w:r w:rsidDel="00000000" w:rsidR="00000000" w:rsidRPr="00000000">
        <w:rPr>
          <w:color w:val="222222"/>
          <w:rtl w:val="0"/>
        </w:rPr>
        <w:t xml:space="preserve">, en facilitant l’émergence de cas d’usage concrets.</w:t>
      </w:r>
    </w:p>
    <w:p w:rsidR="00000000" w:rsidDel="00000000" w:rsidP="00000000" w:rsidRDefault="00000000" w:rsidRPr="00000000" w14:paraId="0000003D">
      <w:pPr>
        <w:shd w:fill="ffffff" w:val="clear"/>
        <w:spacing w:after="200" w:before="0" w:lineRule="auto"/>
        <w:rPr>
          <w:b w:val="1"/>
          <w:color w:val="222222"/>
        </w:rPr>
      </w:pPr>
      <w:r w:rsidDel="00000000" w:rsidR="00000000" w:rsidRPr="00000000">
        <w:rPr>
          <w:b w:val="1"/>
          <w:color w:val="222222"/>
          <w:rtl w:val="0"/>
        </w:rPr>
        <w:t xml:space="preserve">Les objectifs de cet appel sont :</w:t>
      </w:r>
    </w:p>
    <w:p w:rsidR="00000000" w:rsidDel="00000000" w:rsidP="00000000" w:rsidRDefault="00000000" w:rsidRPr="00000000" w14:paraId="0000003E">
      <w:pPr>
        <w:numPr>
          <w:ilvl w:val="0"/>
          <w:numId w:val="24"/>
        </w:numPr>
        <w:shd w:fill="ffffff" w:val="clear"/>
        <w:spacing w:after="200" w:before="0" w:lineRule="auto"/>
        <w:ind w:left="940" w:hanging="360"/>
        <w:rPr/>
      </w:pPr>
      <w:r w:rsidDel="00000000" w:rsidR="00000000" w:rsidRPr="00000000">
        <w:rPr>
          <w:b w:val="1"/>
          <w:color w:val="222222"/>
          <w:rtl w:val="0"/>
        </w:rPr>
        <w:t xml:space="preserve">Accélérer l’utilisation des bases du Catalogue du SNDS</w:t>
      </w:r>
      <w:r w:rsidDel="00000000" w:rsidR="00000000" w:rsidRPr="00000000">
        <w:rPr>
          <w:color w:val="222222"/>
          <w:rtl w:val="0"/>
        </w:rPr>
        <w:t xml:space="preserve"> en soutenant une première vague de projets lauréats, qui serviront de démonstrateurs.</w:t>
      </w:r>
    </w:p>
    <w:p w:rsidR="00000000" w:rsidDel="00000000" w:rsidP="00000000" w:rsidRDefault="00000000" w:rsidRPr="00000000" w14:paraId="0000003F">
      <w:pPr>
        <w:numPr>
          <w:ilvl w:val="0"/>
          <w:numId w:val="24"/>
        </w:numPr>
        <w:shd w:fill="ffffff" w:val="clear"/>
        <w:spacing w:after="200" w:before="0" w:lineRule="auto"/>
        <w:ind w:left="940" w:hanging="360"/>
        <w:rPr/>
      </w:pPr>
      <w:r w:rsidDel="00000000" w:rsidR="00000000" w:rsidRPr="00000000">
        <w:rPr>
          <w:b w:val="1"/>
          <w:color w:val="222222"/>
          <w:rtl w:val="0"/>
        </w:rPr>
        <w:t xml:space="preserve">Évaluer les bénéfices du dispositif</w:t>
      </w:r>
      <w:r w:rsidDel="00000000" w:rsidR="00000000" w:rsidRPr="00000000">
        <w:rPr>
          <w:color w:val="222222"/>
          <w:rtl w:val="0"/>
        </w:rPr>
        <w:t xml:space="preserve"> en matière d’accès simplifié aux données et de gain de temps pour les porteurs de projets.</w:t>
      </w:r>
    </w:p>
    <w:p w:rsidR="00000000" w:rsidDel="00000000" w:rsidP="00000000" w:rsidRDefault="00000000" w:rsidRPr="00000000" w14:paraId="00000040">
      <w:pPr>
        <w:numPr>
          <w:ilvl w:val="0"/>
          <w:numId w:val="24"/>
        </w:numPr>
        <w:shd w:fill="ffffff" w:val="clear"/>
        <w:spacing w:after="200" w:before="0" w:lineRule="auto"/>
        <w:ind w:left="940" w:hanging="360"/>
        <w:rPr/>
      </w:pPr>
      <w:r w:rsidDel="00000000" w:rsidR="00000000" w:rsidRPr="00000000">
        <w:rPr>
          <w:b w:val="1"/>
          <w:color w:val="222222"/>
          <w:rtl w:val="0"/>
        </w:rPr>
        <w:t xml:space="preserve">Identifier les évolutions nécessaires</w:t>
      </w:r>
      <w:r w:rsidDel="00000000" w:rsidR="00000000" w:rsidRPr="00000000">
        <w:rPr>
          <w:color w:val="222222"/>
          <w:rtl w:val="0"/>
        </w:rPr>
        <w:t xml:space="preserve"> pour améliorer l’offre de service du Catalogue, en tenant compte des retours d’expérience des projets financés.</w:t>
      </w:r>
    </w:p>
    <w:p w:rsidR="00000000" w:rsidDel="00000000" w:rsidP="00000000" w:rsidRDefault="00000000" w:rsidRPr="00000000" w14:paraId="00000041">
      <w:pPr>
        <w:numPr>
          <w:ilvl w:val="0"/>
          <w:numId w:val="24"/>
        </w:numPr>
        <w:shd w:fill="ffffff" w:val="clear"/>
        <w:spacing w:after="200" w:before="0" w:lineRule="auto"/>
        <w:ind w:left="940" w:hanging="360"/>
        <w:rPr/>
      </w:pPr>
      <w:r w:rsidDel="00000000" w:rsidR="00000000" w:rsidRPr="00000000">
        <w:rPr>
          <w:b w:val="1"/>
          <w:color w:val="222222"/>
          <w:rtl w:val="0"/>
        </w:rPr>
        <w:t xml:space="preserve">Favoriser la mutualisation et la valorisation des données de santé</w:t>
      </w:r>
      <w:r w:rsidDel="00000000" w:rsidR="00000000" w:rsidRPr="00000000">
        <w:rPr>
          <w:color w:val="222222"/>
          <w:rtl w:val="0"/>
        </w:rPr>
        <w:t xml:space="preserve"> en mettant en lumière des études ayant un impact direct sur la santé publique, la recherche clinique ou la régulation des produits de santé.</w:t>
      </w:r>
    </w:p>
    <w:p w:rsidR="00000000" w:rsidDel="00000000" w:rsidP="00000000" w:rsidRDefault="00000000" w:rsidRPr="00000000" w14:paraId="00000042">
      <w:pPr>
        <w:shd w:fill="ffffff" w:val="clear"/>
        <w:spacing w:after="200" w:before="0" w:lineRule="auto"/>
        <w:rPr>
          <w:color w:val="222222"/>
        </w:rPr>
      </w:pPr>
      <w:r w:rsidDel="00000000" w:rsidR="00000000" w:rsidRPr="00000000">
        <w:rPr>
          <w:rtl w:val="0"/>
        </w:rPr>
      </w:r>
    </w:p>
    <w:p w:rsidR="00000000" w:rsidDel="00000000" w:rsidP="00000000" w:rsidRDefault="00000000" w:rsidRPr="00000000" w14:paraId="00000043">
      <w:pPr>
        <w:pStyle w:val="Heading2"/>
        <w:rPr/>
      </w:pPr>
      <w:bookmarkStart w:colFirst="0" w:colLast="0" w:name="_heading=h.k6nawfhv69y1" w:id="10"/>
      <w:bookmarkEnd w:id="10"/>
      <w:r w:rsidDel="00000000" w:rsidR="00000000" w:rsidRPr="00000000">
        <w:rPr>
          <w:rtl w:val="0"/>
        </w:rPr>
        <w:t xml:space="preserve">1.3 Un accompagnement technologique et financier pour les lauréats</w:t>
      </w:r>
    </w:p>
    <w:p w:rsidR="00000000" w:rsidDel="00000000" w:rsidP="00000000" w:rsidRDefault="00000000" w:rsidRPr="00000000" w14:paraId="00000044">
      <w:pPr>
        <w:shd w:fill="ffffff" w:val="clear"/>
        <w:spacing w:after="200" w:before="0" w:lineRule="auto"/>
        <w:rPr>
          <w:color w:val="222222"/>
        </w:rPr>
      </w:pPr>
      <w:r w:rsidDel="00000000" w:rsidR="00000000" w:rsidRPr="00000000">
        <w:rPr>
          <w:color w:val="222222"/>
          <w:rtl w:val="0"/>
        </w:rPr>
        <w:t xml:space="preserve">Les projets sélectionnés bénéficieront :</w:t>
      </w:r>
    </w:p>
    <w:p w:rsidR="00000000" w:rsidDel="00000000" w:rsidP="00000000" w:rsidRDefault="00000000" w:rsidRPr="00000000" w14:paraId="00000045">
      <w:pPr>
        <w:numPr>
          <w:ilvl w:val="0"/>
          <w:numId w:val="2"/>
        </w:numPr>
        <w:shd w:fill="ffffff" w:val="clear"/>
        <w:spacing w:after="200" w:before="0" w:lineRule="auto"/>
        <w:ind w:left="940" w:hanging="360"/>
        <w:rPr/>
      </w:pPr>
      <w:r w:rsidDel="00000000" w:rsidR="00000000" w:rsidRPr="00000000">
        <w:rPr>
          <w:b w:val="1"/>
          <w:color w:val="222222"/>
          <w:rtl w:val="0"/>
        </w:rPr>
        <w:t xml:space="preserve">D’un accès facilité aux bases du Catalogue du SNDS</w:t>
      </w:r>
      <w:r w:rsidDel="00000000" w:rsidR="00000000" w:rsidRPr="00000000">
        <w:rPr>
          <w:color w:val="222222"/>
          <w:rtl w:val="0"/>
        </w:rPr>
        <w:t xml:space="preserve">, avec un accompagnement sur les aspects réglementaires et techniques.</w:t>
      </w:r>
    </w:p>
    <w:p w:rsidR="00000000" w:rsidDel="00000000" w:rsidP="00000000" w:rsidRDefault="00000000" w:rsidRPr="00000000" w14:paraId="00000046">
      <w:pPr>
        <w:numPr>
          <w:ilvl w:val="0"/>
          <w:numId w:val="2"/>
        </w:numPr>
        <w:shd w:fill="ffffff" w:val="clear"/>
        <w:spacing w:after="200" w:before="0" w:lineRule="auto"/>
        <w:ind w:left="940" w:hanging="360"/>
        <w:rPr/>
      </w:pPr>
      <w:r w:rsidDel="00000000" w:rsidR="00000000" w:rsidRPr="00000000">
        <w:rPr>
          <w:b w:val="1"/>
          <w:color w:val="222222"/>
          <w:rtl w:val="0"/>
        </w:rPr>
        <w:t xml:space="preserve">D’une infrastructure sécurisée</w:t>
      </w:r>
      <w:r w:rsidDel="00000000" w:rsidR="00000000" w:rsidRPr="00000000">
        <w:rPr>
          <w:color w:val="222222"/>
          <w:rtl w:val="0"/>
        </w:rPr>
        <w:t xml:space="preserve"> sur la plateforme du Health Data Hub pour mener leurs analyses.</w:t>
      </w:r>
    </w:p>
    <w:p w:rsidR="00000000" w:rsidDel="00000000" w:rsidP="00000000" w:rsidRDefault="00000000" w:rsidRPr="00000000" w14:paraId="00000047">
      <w:pPr>
        <w:numPr>
          <w:ilvl w:val="0"/>
          <w:numId w:val="2"/>
        </w:numPr>
        <w:shd w:fill="ffffff" w:val="clear"/>
        <w:spacing w:after="200" w:before="0" w:lineRule="auto"/>
        <w:ind w:left="940" w:hanging="360"/>
        <w:rPr/>
      </w:pPr>
      <w:r w:rsidDel="00000000" w:rsidR="00000000" w:rsidRPr="00000000">
        <w:rPr>
          <w:b w:val="1"/>
          <w:color w:val="222222"/>
          <w:rtl w:val="0"/>
        </w:rPr>
        <w:t xml:space="preserve">D’un soutien financier</w:t>
      </w:r>
      <w:r w:rsidDel="00000000" w:rsidR="00000000" w:rsidRPr="00000000">
        <w:rPr>
          <w:color w:val="222222"/>
          <w:rtl w:val="0"/>
        </w:rPr>
        <w:t xml:space="preserve">, d’environ </w:t>
      </w:r>
      <w:r w:rsidDel="00000000" w:rsidR="00000000" w:rsidRPr="00000000">
        <w:rPr>
          <w:b w:val="1"/>
          <w:color w:val="222222"/>
          <w:rtl w:val="0"/>
        </w:rPr>
        <w:t xml:space="preserve">100 000 € par projet pour une durée de 24 mois</w:t>
      </w:r>
      <w:r w:rsidDel="00000000" w:rsidR="00000000" w:rsidRPr="00000000">
        <w:rPr>
          <w:color w:val="222222"/>
          <w:rtl w:val="0"/>
        </w:rPr>
        <w:t xml:space="preserve">.</w:t>
      </w:r>
    </w:p>
    <w:p w:rsidR="00000000" w:rsidDel="00000000" w:rsidP="00000000" w:rsidRDefault="00000000" w:rsidRPr="00000000" w14:paraId="00000048">
      <w:pPr>
        <w:shd w:fill="ffffff" w:val="clear"/>
        <w:spacing w:after="200" w:before="0" w:lineRule="auto"/>
        <w:rPr>
          <w:color w:val="222222"/>
        </w:rPr>
      </w:pPr>
      <w:r w:rsidDel="00000000" w:rsidR="00000000" w:rsidRPr="00000000">
        <w:rPr>
          <w:color w:val="222222"/>
          <w:rtl w:val="0"/>
        </w:rPr>
        <w:t xml:space="preserve">Cet appel est </w:t>
      </w:r>
      <w:r w:rsidDel="00000000" w:rsidR="00000000" w:rsidRPr="00000000">
        <w:rPr>
          <w:b w:val="1"/>
          <w:color w:val="222222"/>
          <w:rtl w:val="0"/>
        </w:rPr>
        <w:t xml:space="preserve">ouvert à tout acteur</w:t>
      </w:r>
      <w:r w:rsidDel="00000000" w:rsidR="00000000" w:rsidRPr="00000000">
        <w:rPr>
          <w:color w:val="222222"/>
          <w:rtl w:val="0"/>
        </w:rPr>
        <w:t xml:space="preserve"> ayant un projet scientifique ou d’intérêt public s’appuyant sur une ou plusieurs bases du </w:t>
      </w:r>
      <w:r w:rsidDel="00000000" w:rsidR="00000000" w:rsidRPr="00000000">
        <w:rPr>
          <w:b w:val="1"/>
          <w:color w:val="222222"/>
          <w:rtl w:val="0"/>
        </w:rPr>
        <w:t xml:space="preserve">Catalogue</w:t>
      </w:r>
      <w:r w:rsidDel="00000000" w:rsidR="00000000" w:rsidRPr="00000000">
        <w:rPr>
          <w:b w:val="1"/>
          <w:color w:val="222222"/>
          <w:rtl w:val="0"/>
        </w:rPr>
        <w:t xml:space="preserve"> du SNDS</w:t>
      </w:r>
      <w:r w:rsidDel="00000000" w:rsidR="00000000" w:rsidRPr="00000000">
        <w:rPr>
          <w:color w:val="222222"/>
          <w:rtl w:val="0"/>
        </w:rPr>
        <w:t xml:space="preserve">.</w:t>
      </w:r>
      <w:r w:rsidDel="00000000" w:rsidR="00000000" w:rsidRPr="00000000">
        <w:rPr>
          <w:rtl w:val="0"/>
        </w:rPr>
      </w:r>
    </w:p>
    <w:p w:rsidR="00000000" w:rsidDel="00000000" w:rsidP="00000000" w:rsidRDefault="00000000" w:rsidRPr="00000000" w14:paraId="00000049">
      <w:pPr>
        <w:spacing w:after="200" w:before="0" w:line="240" w:lineRule="auto"/>
        <w:rPr/>
      </w:pPr>
      <w:r w:rsidDel="00000000" w:rsidR="00000000" w:rsidRPr="00000000">
        <w:rPr>
          <w:rtl w:val="0"/>
        </w:rPr>
      </w:r>
    </w:p>
    <w:p w:rsidR="00000000" w:rsidDel="00000000" w:rsidP="00000000" w:rsidRDefault="00000000" w:rsidRPr="00000000" w14:paraId="0000004A">
      <w:pPr>
        <w:pStyle w:val="Heading2"/>
        <w:rPr/>
      </w:pPr>
      <w:bookmarkStart w:colFirst="0" w:colLast="0" w:name="_heading=h.xgknft9ukg2m" w:id="11"/>
      <w:bookmarkEnd w:id="11"/>
      <w:r w:rsidDel="00000000" w:rsidR="00000000" w:rsidRPr="00000000">
        <w:rPr>
          <w:rtl w:val="0"/>
        </w:rPr>
        <w:t xml:space="preserve">1.4 Les bases de données mises à disposition</w:t>
      </w:r>
    </w:p>
    <w:p w:rsidR="00000000" w:rsidDel="00000000" w:rsidP="00000000" w:rsidRDefault="00000000" w:rsidRPr="00000000" w14:paraId="0000004B">
      <w:pPr>
        <w:spacing w:after="100" w:before="100" w:lineRule="auto"/>
        <w:rPr/>
      </w:pPr>
      <w:r w:rsidDel="00000000" w:rsidR="00000000" w:rsidRPr="00000000">
        <w:rPr>
          <w:rtl w:val="0"/>
        </w:rPr>
        <w:t xml:space="preserve">Les bases de données mises à disposition dans le cadre de cet AMI sont listées ci-dessous. La description des bases de données est disponible dans le </w:t>
      </w:r>
      <w:hyperlink r:id="rId9">
        <w:r w:rsidDel="00000000" w:rsidR="00000000" w:rsidRPr="00000000">
          <w:rPr>
            <w:color w:val="1155cc"/>
            <w:u w:val="single"/>
            <w:rtl w:val="0"/>
          </w:rPr>
          <w:t xml:space="preserve">répertoire</w:t>
        </w:r>
      </w:hyperlink>
      <w:hyperlink r:id="rId10">
        <w:r w:rsidDel="00000000" w:rsidR="00000000" w:rsidRPr="00000000">
          <w:rPr>
            <w:color w:val="1155cc"/>
            <w:u w:val="single"/>
            <w:rtl w:val="0"/>
          </w:rPr>
          <w:t xml:space="preserve"> national</w:t>
        </w:r>
      </w:hyperlink>
      <w:hyperlink r:id="rId11">
        <w:r w:rsidDel="00000000" w:rsidR="00000000" w:rsidRPr="00000000">
          <w:rPr>
            <w:color w:val="1155cc"/>
            <w:u w:val="single"/>
            <w:rtl w:val="0"/>
          </w:rPr>
          <w:t xml:space="preserve"> des bases de données</w:t>
        </w:r>
      </w:hyperlink>
      <w:r w:rsidDel="00000000" w:rsidR="00000000" w:rsidRPr="00000000">
        <w:rPr>
          <w:rtl w:val="0"/>
        </w:rPr>
        <w:t xml:space="preserve">.</w:t>
      </w:r>
    </w:p>
    <w:p w:rsidR="00000000" w:rsidDel="00000000" w:rsidP="00000000" w:rsidRDefault="00000000" w:rsidRPr="00000000" w14:paraId="0000004C">
      <w:pPr>
        <w:spacing w:after="100" w:before="100" w:lineRule="auto"/>
        <w:rPr/>
      </w:pPr>
      <w:r w:rsidDel="00000000" w:rsidR="00000000" w:rsidRPr="00000000">
        <w:rPr>
          <w:rtl w:val="0"/>
        </w:rPr>
      </w:r>
    </w:p>
    <w:p w:rsidR="00000000" w:rsidDel="00000000" w:rsidP="00000000" w:rsidRDefault="00000000" w:rsidRPr="00000000" w14:paraId="0000004D">
      <w:pPr>
        <w:numPr>
          <w:ilvl w:val="0"/>
          <w:numId w:val="9"/>
        </w:numPr>
        <w:spacing w:after="100" w:before="100" w:lineRule="auto"/>
        <w:ind w:left="720" w:hanging="360"/>
      </w:pPr>
      <w:r w:rsidDel="00000000" w:rsidR="00000000" w:rsidRPr="00000000">
        <w:rPr>
          <w:b w:val="1"/>
          <w:rtl w:val="0"/>
        </w:rPr>
        <w:t xml:space="preserve">Base APSOREN - CHU de Toulouse</w:t>
      </w:r>
      <w:r w:rsidDel="00000000" w:rsidR="00000000" w:rsidRPr="00000000">
        <w:rPr>
          <w:rtl w:val="0"/>
        </w:rPr>
        <w:t xml:space="preserve"> </w:t>
      </w:r>
    </w:p>
    <w:p w:rsidR="00000000" w:rsidDel="00000000" w:rsidP="00000000" w:rsidRDefault="00000000" w:rsidRPr="00000000" w14:paraId="0000004E">
      <w:pPr>
        <w:spacing w:after="100" w:before="100" w:lineRule="auto"/>
        <w:rPr/>
      </w:pPr>
      <w:r w:rsidDel="00000000" w:rsidR="00000000" w:rsidRPr="00000000">
        <w:rPr>
          <w:rtl w:val="0"/>
        </w:rPr>
        <w:t xml:space="preserve">La base de données APSOREN (Amélioration du Parcours de Soins du patient traumatisé crânien par le développement d’un modèle d’intelligence artificielle en Réseau de Neurone) réunit les données cliniques et administratives de 23 000 patients pris en charge pour un traumatisme crânien au CHU de Toulouse entre 2012 et 2018.</w:t>
      </w:r>
    </w:p>
    <w:p w:rsidR="00000000" w:rsidDel="00000000" w:rsidP="00000000" w:rsidRDefault="00000000" w:rsidRPr="00000000" w14:paraId="0000004F">
      <w:pPr>
        <w:spacing w:after="100" w:before="100" w:lineRule="auto"/>
        <w:rPr/>
      </w:pPr>
      <w:r w:rsidDel="00000000" w:rsidR="00000000" w:rsidRPr="00000000">
        <w:rPr>
          <w:rtl w:val="0"/>
        </w:rPr>
      </w:r>
    </w:p>
    <w:p w:rsidR="00000000" w:rsidDel="00000000" w:rsidP="00000000" w:rsidRDefault="00000000" w:rsidRPr="00000000" w14:paraId="00000050">
      <w:pPr>
        <w:numPr>
          <w:ilvl w:val="0"/>
          <w:numId w:val="9"/>
        </w:numPr>
        <w:spacing w:after="100" w:before="100" w:lineRule="auto"/>
        <w:ind w:left="720" w:hanging="360"/>
        <w:rPr>
          <w:b w:val="1"/>
        </w:rPr>
      </w:pPr>
      <w:r w:rsidDel="00000000" w:rsidR="00000000" w:rsidRPr="00000000">
        <w:rPr>
          <w:b w:val="1"/>
          <w:rtl w:val="0"/>
        </w:rPr>
        <w:t xml:space="preserve">Base ARAC - Malakoff Mederic</w:t>
      </w:r>
    </w:p>
    <w:p w:rsidR="00000000" w:rsidDel="00000000" w:rsidP="00000000" w:rsidRDefault="00000000" w:rsidRPr="00000000" w14:paraId="00000051">
      <w:pPr>
        <w:spacing w:after="100" w:before="100" w:lineRule="auto"/>
        <w:rPr/>
      </w:pPr>
      <w:r w:rsidDel="00000000" w:rsidR="00000000" w:rsidRPr="00000000">
        <w:rPr>
          <w:rtl w:val="0"/>
        </w:rPr>
        <w:t xml:space="preserve">La base d’Analyse des Restes à Charge de Malakoff Humanis (ARAC) est une base de données administratives des restes à charge de 1,4 millions d’individus affiliés à une couverture complémentaire de Malakoff Humanis entre 2016 et 2019.</w:t>
      </w:r>
    </w:p>
    <w:p w:rsidR="00000000" w:rsidDel="00000000" w:rsidP="00000000" w:rsidRDefault="00000000" w:rsidRPr="00000000" w14:paraId="00000052">
      <w:pPr>
        <w:spacing w:after="100" w:before="100" w:lineRule="auto"/>
        <w:rPr/>
      </w:pPr>
      <w:r w:rsidDel="00000000" w:rsidR="00000000" w:rsidRPr="00000000">
        <w:rPr>
          <w:rtl w:val="0"/>
        </w:rPr>
      </w:r>
    </w:p>
    <w:p w:rsidR="00000000" w:rsidDel="00000000" w:rsidP="00000000" w:rsidRDefault="00000000" w:rsidRPr="00000000" w14:paraId="00000053">
      <w:pPr>
        <w:numPr>
          <w:ilvl w:val="0"/>
          <w:numId w:val="9"/>
        </w:numPr>
        <w:spacing w:after="100" w:before="100" w:lineRule="auto"/>
        <w:ind w:left="720" w:hanging="360"/>
      </w:pPr>
      <w:hyperlink r:id="rId12">
        <w:r w:rsidDel="00000000" w:rsidR="00000000" w:rsidRPr="00000000">
          <w:rPr>
            <w:b w:val="1"/>
            <w:color w:val="1155cc"/>
            <w:u w:val="single"/>
            <w:rtl w:val="0"/>
          </w:rPr>
          <w:t xml:space="preserve">Base ATUc CBPC</w:t>
        </w:r>
      </w:hyperlink>
      <w:r w:rsidDel="00000000" w:rsidR="00000000" w:rsidRPr="00000000">
        <w:rPr>
          <w:b w:val="1"/>
          <w:rtl w:val="0"/>
        </w:rPr>
        <w:t xml:space="preserve"> - Roche</w:t>
      </w:r>
      <w:r w:rsidDel="00000000" w:rsidR="00000000" w:rsidRPr="00000000">
        <w:rPr>
          <w:rtl w:val="0"/>
        </w:rPr>
        <w:t xml:space="preserve"> </w:t>
      </w:r>
    </w:p>
    <w:p w:rsidR="00000000" w:rsidDel="00000000" w:rsidP="00000000" w:rsidRDefault="00000000" w:rsidRPr="00000000" w14:paraId="00000054">
      <w:pPr>
        <w:spacing w:after="100" w:before="100" w:lineRule="auto"/>
        <w:rPr/>
      </w:pPr>
      <w:r w:rsidDel="00000000" w:rsidR="00000000" w:rsidRPr="00000000">
        <w:rPr>
          <w:rtl w:val="0"/>
        </w:rPr>
        <w:t xml:space="preserve">La base relative à l’Autorisation Temporaire d’Utilisation de cohorte pour le traitement des cancers bronchiques à petites cellules (ATUc CBPC) du laboratoire ROCHE SAS rassemble les données de plus de 1400 patients ayant bénéficié de l’Autorisation Temporaire d’Utilisation de cohorte en France de l’anticorps monoclonal atezolizumab pour le traitement des cancers bronchiques à petites cellules, autorisation délivrée par l’Agence Nationale de Sécurité du Médicament (ANSM) en avril 2019. </w:t>
      </w:r>
      <w:r w:rsidDel="00000000" w:rsidR="00000000" w:rsidRPr="00000000">
        <w:rPr>
          <w:rtl w:val="0"/>
        </w:rPr>
      </w:r>
    </w:p>
    <w:p w:rsidR="00000000" w:rsidDel="00000000" w:rsidP="00000000" w:rsidRDefault="00000000" w:rsidRPr="00000000" w14:paraId="00000055">
      <w:pPr>
        <w:spacing w:after="100" w:before="100" w:lineRule="auto"/>
        <w:ind w:left="720" w:firstLine="0"/>
        <w:rPr/>
      </w:pPr>
      <w:r w:rsidDel="00000000" w:rsidR="00000000" w:rsidRPr="00000000">
        <w:rPr>
          <w:rtl w:val="0"/>
        </w:rPr>
      </w:r>
    </w:p>
    <w:p w:rsidR="00000000" w:rsidDel="00000000" w:rsidP="00000000" w:rsidRDefault="00000000" w:rsidRPr="00000000" w14:paraId="00000056">
      <w:pPr>
        <w:numPr>
          <w:ilvl w:val="0"/>
          <w:numId w:val="3"/>
        </w:numPr>
        <w:spacing w:after="100" w:before="100" w:lineRule="auto"/>
        <w:ind w:left="720" w:hanging="360"/>
        <w:rPr>
          <w:b w:val="1"/>
        </w:rPr>
      </w:pPr>
      <w:hyperlink r:id="rId13">
        <w:r w:rsidDel="00000000" w:rsidR="00000000" w:rsidRPr="00000000">
          <w:rPr>
            <w:b w:val="1"/>
            <w:color w:val="1155cc"/>
            <w:u w:val="single"/>
            <w:rtl w:val="0"/>
          </w:rPr>
          <w:t xml:space="preserve">BNDMR </w:t>
        </w:r>
      </w:hyperlink>
      <w:r w:rsidDel="00000000" w:rsidR="00000000" w:rsidRPr="00000000">
        <w:rPr>
          <w:b w:val="1"/>
          <w:rtl w:val="0"/>
        </w:rPr>
        <w:t xml:space="preserve">- </w:t>
      </w:r>
      <w:r w:rsidDel="00000000" w:rsidR="00000000" w:rsidRPr="00000000">
        <w:rPr>
          <w:b w:val="1"/>
          <w:rtl w:val="0"/>
        </w:rPr>
        <w:t xml:space="preserve">AP-HP</w:t>
      </w:r>
      <w:r w:rsidDel="00000000" w:rsidR="00000000" w:rsidRPr="00000000">
        <w:rPr>
          <w:rtl w:val="0"/>
        </w:rPr>
      </w:r>
    </w:p>
    <w:p w:rsidR="00000000" w:rsidDel="00000000" w:rsidP="00000000" w:rsidRDefault="00000000" w:rsidRPr="00000000" w14:paraId="00000057">
      <w:pPr>
        <w:spacing w:after="100" w:before="100" w:lineRule="auto"/>
        <w:rPr/>
      </w:pPr>
      <w:r w:rsidDel="00000000" w:rsidR="00000000" w:rsidRPr="00000000">
        <w:rPr>
          <w:rtl w:val="0"/>
        </w:rPr>
        <w:t xml:space="preserve">La Banque Nationale des Maladies Rares (BNDMR) est un entrepôt de données de santé national rassemblant les données de plus d’1 million de patients atteints de 4800 différentes maladies rares et suivis dans les centres experts français. Cette base est issue d’un projet prioritaire du Plan National Maladies Rares 2, financé par le ministère de la Santé. L’AP-HP a été missionnée par la Direction Générale de l’Offre de Soins pour assurer la maîtrise d’œuvre de la BNDMR.</w:t>
      </w:r>
    </w:p>
    <w:p w:rsidR="00000000" w:rsidDel="00000000" w:rsidP="00000000" w:rsidRDefault="00000000" w:rsidRPr="00000000" w14:paraId="00000058">
      <w:pPr>
        <w:spacing w:after="100" w:before="100" w:lineRule="auto"/>
        <w:rPr>
          <w:color w:val="1155cc"/>
          <w:u w:val="single"/>
        </w:rPr>
      </w:pPr>
      <w:r w:rsidDel="00000000" w:rsidR="00000000" w:rsidRPr="00000000">
        <w:rPr>
          <w:rtl w:val="0"/>
        </w:rPr>
      </w:r>
    </w:p>
    <w:p w:rsidR="00000000" w:rsidDel="00000000" w:rsidP="00000000" w:rsidRDefault="00000000" w:rsidRPr="00000000" w14:paraId="00000059">
      <w:pPr>
        <w:spacing w:after="100" w:before="100" w:lineRule="auto"/>
        <w:rPr/>
      </w:pPr>
      <w:r w:rsidDel="00000000" w:rsidR="00000000" w:rsidRPr="00000000">
        <w:rPr>
          <w:rtl w:val="0"/>
        </w:rPr>
      </w:r>
    </w:p>
    <w:p w:rsidR="00000000" w:rsidDel="00000000" w:rsidP="00000000" w:rsidRDefault="00000000" w:rsidRPr="00000000" w14:paraId="0000005A">
      <w:pPr>
        <w:numPr>
          <w:ilvl w:val="0"/>
          <w:numId w:val="1"/>
        </w:numPr>
        <w:spacing w:after="100" w:before="100" w:lineRule="auto"/>
        <w:ind w:left="720" w:hanging="360"/>
        <w:rPr>
          <w:b w:val="1"/>
        </w:rPr>
      </w:pPr>
      <w:r w:rsidDel="00000000" w:rsidR="00000000" w:rsidRPr="00000000">
        <w:rPr>
          <w:b w:val="1"/>
          <w:rtl w:val="0"/>
        </w:rPr>
        <w:t xml:space="preserve">Base </w:t>
      </w:r>
      <w:r w:rsidDel="00000000" w:rsidR="00000000" w:rsidRPr="00000000">
        <w:rPr>
          <w:b w:val="1"/>
          <w:rtl w:val="0"/>
        </w:rPr>
        <w:t xml:space="preserve">DeepSarc</w:t>
      </w:r>
      <w:r w:rsidDel="00000000" w:rsidR="00000000" w:rsidRPr="00000000">
        <w:rPr>
          <w:b w:val="1"/>
          <w:rtl w:val="0"/>
        </w:rPr>
        <w:t xml:space="preserve"> - Centre Léon Bérard</w:t>
      </w:r>
    </w:p>
    <w:p w:rsidR="00000000" w:rsidDel="00000000" w:rsidP="00000000" w:rsidRDefault="00000000" w:rsidRPr="00000000" w14:paraId="0000005B">
      <w:pPr>
        <w:spacing w:after="100" w:before="100" w:lineRule="auto"/>
        <w:rPr/>
      </w:pPr>
      <w:r w:rsidDel="00000000" w:rsidR="00000000" w:rsidRPr="00000000">
        <w:rPr>
          <w:rtl w:val="0"/>
        </w:rPr>
        <w:t xml:space="preserve">La base DeepSarc hébergée au Centre de Lutte Contre le Cancer (CLCC) Léon Bérard, est issue du réseau de référence Sarcomes Netsarc+. Elle réunit les données de 25 000 patients atteints de sarcome, diagnostiqués entre 2010 et 2017. </w:t>
      </w:r>
    </w:p>
    <w:p w:rsidR="00000000" w:rsidDel="00000000" w:rsidP="00000000" w:rsidRDefault="00000000" w:rsidRPr="00000000" w14:paraId="0000005C">
      <w:pPr>
        <w:spacing w:after="100" w:before="100" w:lineRule="auto"/>
        <w:rPr/>
      </w:pPr>
      <w:r w:rsidDel="00000000" w:rsidR="00000000" w:rsidRPr="00000000">
        <w:rPr>
          <w:rtl w:val="0"/>
        </w:rPr>
      </w:r>
    </w:p>
    <w:p w:rsidR="00000000" w:rsidDel="00000000" w:rsidP="00000000" w:rsidRDefault="00000000" w:rsidRPr="00000000" w14:paraId="0000005D">
      <w:pPr>
        <w:numPr>
          <w:ilvl w:val="0"/>
          <w:numId w:val="3"/>
        </w:numPr>
        <w:spacing w:after="100" w:before="100" w:lineRule="auto"/>
        <w:ind w:left="720" w:hanging="360"/>
        <w:rPr>
          <w:b w:val="1"/>
        </w:rPr>
      </w:pPr>
      <w:hyperlink r:id="rId14">
        <w:r w:rsidDel="00000000" w:rsidR="00000000" w:rsidRPr="00000000">
          <w:rPr>
            <w:b w:val="1"/>
            <w:color w:val="1155cc"/>
            <w:u w:val="single"/>
            <w:rtl w:val="0"/>
          </w:rPr>
          <w:t xml:space="preserve">Base e-SIS</w:t>
        </w:r>
      </w:hyperlink>
      <w:r w:rsidDel="00000000" w:rsidR="00000000" w:rsidRPr="00000000">
        <w:rPr>
          <w:b w:val="1"/>
          <w:rtl w:val="0"/>
        </w:rPr>
        <w:t xml:space="preserve"> - Centre Régional de Coordination du Dépistage des Cancers – Occitanie </w:t>
      </w:r>
    </w:p>
    <w:p w:rsidR="00000000" w:rsidDel="00000000" w:rsidP="00000000" w:rsidRDefault="00000000" w:rsidRPr="00000000" w14:paraId="0000005E">
      <w:pPr>
        <w:spacing w:after="100" w:before="100" w:lineRule="auto"/>
        <w:rPr/>
      </w:pPr>
      <w:r w:rsidDel="00000000" w:rsidR="00000000" w:rsidRPr="00000000">
        <w:rPr>
          <w:rtl w:val="0"/>
        </w:rPr>
        <w:t xml:space="preserve">La base de données de dépistage du cancer du sein e-SIS du Centre Régional de Coordination des Dépistages des Cancers en Occitanie (CRCDC-OC) rassemble les données cliniques et mammographies de 150 000 femmes ayant participé au dépistage organisé du cancer du sein du Gard et de la Lozère entre 2004 et 2019.</w:t>
      </w:r>
      <w:r w:rsidDel="00000000" w:rsidR="00000000" w:rsidRPr="00000000">
        <w:rPr>
          <w:rtl w:val="0"/>
        </w:rPr>
      </w:r>
    </w:p>
    <w:p w:rsidR="00000000" w:rsidDel="00000000" w:rsidP="00000000" w:rsidRDefault="00000000" w:rsidRPr="00000000" w14:paraId="0000005F">
      <w:pPr>
        <w:spacing w:after="100" w:before="100" w:lineRule="auto"/>
        <w:rPr/>
      </w:pPr>
      <w:r w:rsidDel="00000000" w:rsidR="00000000" w:rsidRPr="00000000">
        <w:rPr>
          <w:rtl w:val="0"/>
        </w:rPr>
      </w:r>
    </w:p>
    <w:p w:rsidR="00000000" w:rsidDel="00000000" w:rsidP="00000000" w:rsidRDefault="00000000" w:rsidRPr="00000000" w14:paraId="00000060">
      <w:pPr>
        <w:numPr>
          <w:ilvl w:val="0"/>
          <w:numId w:val="3"/>
        </w:numPr>
        <w:spacing w:after="100" w:before="100" w:lineRule="auto"/>
        <w:ind w:left="720" w:hanging="360"/>
        <w:rPr>
          <w:b w:val="1"/>
        </w:rPr>
      </w:pPr>
      <w:hyperlink r:id="rId15">
        <w:r w:rsidDel="00000000" w:rsidR="00000000" w:rsidRPr="00000000">
          <w:rPr>
            <w:b w:val="1"/>
            <w:color w:val="1155cc"/>
            <w:u w:val="single"/>
            <w:rtl w:val="0"/>
          </w:rPr>
          <w:t xml:space="preserve">Base ESME CSM</w:t>
        </w:r>
      </w:hyperlink>
      <w:r w:rsidDel="00000000" w:rsidR="00000000" w:rsidRPr="00000000">
        <w:rPr>
          <w:b w:val="1"/>
          <w:i w:val="1"/>
          <w:rtl w:val="0"/>
        </w:rPr>
        <w:t xml:space="preserve"> </w:t>
      </w:r>
      <w:r w:rsidDel="00000000" w:rsidR="00000000" w:rsidRPr="00000000">
        <w:rPr>
          <w:b w:val="1"/>
          <w:rtl w:val="0"/>
        </w:rPr>
        <w:t xml:space="preserve">- Unicancer</w:t>
      </w:r>
    </w:p>
    <w:p w:rsidR="00000000" w:rsidDel="00000000" w:rsidP="00000000" w:rsidRDefault="00000000" w:rsidRPr="00000000" w14:paraId="00000061">
      <w:pPr>
        <w:spacing w:after="100" w:before="100" w:lineRule="auto"/>
        <w:rPr/>
      </w:pPr>
      <w:r w:rsidDel="00000000" w:rsidR="00000000" w:rsidRPr="00000000">
        <w:rPr>
          <w:rtl w:val="0"/>
        </w:rPr>
        <w:t xml:space="preserve">La base de données du programme Épidémio-Stratégie Médico-Économique relative au Cancer du Sein Métastatique d’Unicancer (ESME CSM), gérée par Unicancer, est un entrepôt de données structurées issues des dossiers médicaux de patientes atteintes d'un cancer du sein métastatique prises en charge dans les 18 Centres de Lutte Contre le Cancer (CLCC), soit les données de plus de 26 000 patientes depuis 2008.</w:t>
      </w:r>
      <w:r w:rsidDel="00000000" w:rsidR="00000000" w:rsidRPr="00000000">
        <w:rPr>
          <w:rtl w:val="0"/>
        </w:rPr>
      </w:r>
    </w:p>
    <w:p w:rsidR="00000000" w:rsidDel="00000000" w:rsidP="00000000" w:rsidRDefault="00000000" w:rsidRPr="00000000" w14:paraId="00000062">
      <w:pPr>
        <w:spacing w:after="100" w:before="100" w:lineRule="auto"/>
        <w:rPr>
          <w:u w:val="single"/>
          <w:shd w:fill="fff2cc" w:val="clear"/>
        </w:rPr>
      </w:pPr>
      <w:r w:rsidDel="00000000" w:rsidR="00000000" w:rsidRPr="00000000">
        <w:rPr>
          <w:rtl w:val="0"/>
        </w:rPr>
      </w:r>
    </w:p>
    <w:p w:rsidR="00000000" w:rsidDel="00000000" w:rsidP="00000000" w:rsidRDefault="00000000" w:rsidRPr="00000000" w14:paraId="00000063">
      <w:pPr>
        <w:numPr>
          <w:ilvl w:val="0"/>
          <w:numId w:val="4"/>
        </w:numPr>
        <w:spacing w:after="100" w:before="100" w:lineRule="auto"/>
        <w:ind w:left="720" w:hanging="360"/>
        <w:rPr>
          <w:b w:val="1"/>
        </w:rPr>
      </w:pPr>
      <w:r w:rsidDel="00000000" w:rsidR="00000000" w:rsidRPr="00000000">
        <w:rPr>
          <w:b w:val="1"/>
          <w:rtl w:val="0"/>
        </w:rPr>
        <w:t xml:space="preserve">Cohorte INTEGRA</w:t>
      </w:r>
      <w:r w:rsidDel="00000000" w:rsidR="00000000" w:rsidRPr="00000000">
        <w:rPr>
          <w:b w:val="1"/>
          <w:rtl w:val="0"/>
        </w:rPr>
        <w:t xml:space="preserve"> - CHU de Lille</w:t>
      </w:r>
      <w:r w:rsidDel="00000000" w:rsidR="00000000" w:rsidRPr="00000000">
        <w:rPr>
          <w:rtl w:val="0"/>
        </w:rPr>
      </w:r>
    </w:p>
    <w:p w:rsidR="00000000" w:rsidDel="00000000" w:rsidP="00000000" w:rsidRDefault="00000000" w:rsidRPr="00000000" w14:paraId="00000064">
      <w:pPr>
        <w:spacing w:after="100" w:before="100" w:lineRule="auto"/>
        <w:rPr/>
      </w:pPr>
      <w:r w:rsidDel="00000000" w:rsidR="00000000" w:rsidRPr="00000000">
        <w:rPr>
          <w:rtl w:val="0"/>
        </w:rPr>
        <w:t xml:space="preserve">La base de donnée INTEGRA (Signature du profil de risque de la mortalité dans une cohorte hospitalière des patients présentant des maladies métaboliques) est une cohorte hospitalière permettant d’identifier les déterminants clinico-biologiques prédictifs de la mortalité à 10 ans toutes causes confondues dans une population cible de 600 patients présentant des pathologies associées à une pathologie métabolique à l’inclusion, au sein d’une sous population hospitalière du CHU de Lille.</w:t>
      </w:r>
      <w:r w:rsidDel="00000000" w:rsidR="00000000" w:rsidRPr="00000000">
        <w:rPr>
          <w:rtl w:val="0"/>
        </w:rPr>
      </w:r>
    </w:p>
    <w:p w:rsidR="00000000" w:rsidDel="00000000" w:rsidP="00000000" w:rsidRDefault="00000000" w:rsidRPr="00000000" w14:paraId="00000065">
      <w:pPr>
        <w:spacing w:after="100" w:before="100" w:lineRule="auto"/>
        <w:rPr/>
      </w:pPr>
      <w:r w:rsidDel="00000000" w:rsidR="00000000" w:rsidRPr="00000000">
        <w:rPr>
          <w:rtl w:val="0"/>
        </w:rPr>
      </w:r>
    </w:p>
    <w:p w:rsidR="00000000" w:rsidDel="00000000" w:rsidP="00000000" w:rsidRDefault="00000000" w:rsidRPr="00000000" w14:paraId="00000066">
      <w:pPr>
        <w:numPr>
          <w:ilvl w:val="0"/>
          <w:numId w:val="3"/>
        </w:numPr>
        <w:spacing w:after="100" w:before="100" w:lineRule="auto"/>
        <w:ind w:left="720" w:hanging="360"/>
        <w:rPr>
          <w:b w:val="1"/>
        </w:rPr>
      </w:pPr>
      <w:hyperlink r:id="rId16">
        <w:r w:rsidDel="00000000" w:rsidR="00000000" w:rsidRPr="00000000">
          <w:rPr>
            <w:b w:val="1"/>
            <w:color w:val="1155cc"/>
            <w:u w:val="single"/>
            <w:rtl w:val="0"/>
          </w:rPr>
          <w:t xml:space="preserve">Base ISIS</w:t>
        </w:r>
      </w:hyperlink>
      <w:r w:rsidDel="00000000" w:rsidR="00000000" w:rsidRPr="00000000">
        <w:rPr>
          <w:b w:val="1"/>
          <w:rtl w:val="0"/>
        </w:rPr>
        <w:t xml:space="preserve"> - Institut de Cancérologie de l’Ouest</w:t>
      </w:r>
    </w:p>
    <w:p w:rsidR="00000000" w:rsidDel="00000000" w:rsidP="00000000" w:rsidRDefault="00000000" w:rsidRPr="00000000" w14:paraId="00000067">
      <w:pPr>
        <w:spacing w:after="100" w:before="100" w:lineRule="auto"/>
        <w:rPr/>
      </w:pPr>
      <w:r w:rsidDel="00000000" w:rsidR="00000000" w:rsidRPr="00000000">
        <w:rPr>
          <w:rtl w:val="0"/>
        </w:rPr>
        <w:t xml:space="preserve">La base de données ISIS étudie l’infertilité secondaire aux traitements du cancer du sein. Les données cliniques collectées permettent d’évaluer le risque d’infertilité après cancer du sein de stade 1 à 3 chez 12 000 patientes âgées de 18 à 41 ans et suivies dans 4 CLCC entre 2000 et 2022.</w:t>
      </w:r>
      <w:r w:rsidDel="00000000" w:rsidR="00000000" w:rsidRPr="00000000">
        <w:rPr>
          <w:rtl w:val="0"/>
        </w:rPr>
      </w:r>
    </w:p>
    <w:p w:rsidR="00000000" w:rsidDel="00000000" w:rsidP="00000000" w:rsidRDefault="00000000" w:rsidRPr="00000000" w14:paraId="00000068">
      <w:pPr>
        <w:spacing w:after="100" w:before="100" w:lineRule="auto"/>
        <w:rPr/>
      </w:pPr>
      <w:r w:rsidDel="00000000" w:rsidR="00000000" w:rsidRPr="00000000">
        <w:rPr>
          <w:rtl w:val="0"/>
        </w:rPr>
      </w:r>
    </w:p>
    <w:p w:rsidR="00000000" w:rsidDel="00000000" w:rsidP="00000000" w:rsidRDefault="00000000" w:rsidRPr="00000000" w14:paraId="00000069">
      <w:pPr>
        <w:numPr>
          <w:ilvl w:val="0"/>
          <w:numId w:val="3"/>
        </w:numPr>
        <w:spacing w:after="100" w:before="100" w:lineRule="auto"/>
        <w:ind w:left="720" w:hanging="360"/>
        <w:rPr>
          <w:b w:val="1"/>
          <w:i w:val="1"/>
        </w:rPr>
      </w:pPr>
      <w:hyperlink r:id="rId17">
        <w:r w:rsidDel="00000000" w:rsidR="00000000" w:rsidRPr="00000000">
          <w:rPr>
            <w:b w:val="1"/>
            <w:color w:val="1155cc"/>
            <w:u w:val="single"/>
            <w:rtl w:val="0"/>
          </w:rPr>
          <w:t xml:space="preserve">Base MEMENTO</w:t>
        </w:r>
      </w:hyperlink>
      <w:r w:rsidDel="00000000" w:rsidR="00000000" w:rsidRPr="00000000">
        <w:rPr>
          <w:b w:val="1"/>
          <w:rtl w:val="0"/>
        </w:rPr>
        <w:t xml:space="preserve"> - CHU de Bordeaux</w:t>
      </w:r>
    </w:p>
    <w:p w:rsidR="00000000" w:rsidDel="00000000" w:rsidP="00000000" w:rsidRDefault="00000000" w:rsidRPr="00000000" w14:paraId="0000006A">
      <w:pPr>
        <w:spacing w:after="100" w:before="100" w:lineRule="auto"/>
        <w:rPr/>
      </w:pPr>
      <w:r w:rsidDel="00000000" w:rsidR="00000000" w:rsidRPr="00000000">
        <w:rPr>
          <w:rtl w:val="0"/>
        </w:rPr>
        <w:t xml:space="preserve">La base relative à la cohorte de patients atteints de la maladie d’Alzheimer (MEMENTO) du Centre Hospitalier Universitaire de Bordeaux rassemble les données de 2300 individus ayant été suivis dans des centres de mémoire de ressources et de recherche français entre 2011 et 2019 afin de mieux connaître l’histoire naturelle de la maladie d’Alzheimer.</w:t>
      </w:r>
    </w:p>
    <w:p w:rsidR="00000000" w:rsidDel="00000000" w:rsidP="00000000" w:rsidRDefault="00000000" w:rsidRPr="00000000" w14:paraId="0000006B">
      <w:pPr>
        <w:spacing w:after="100" w:before="100" w:lineRule="auto"/>
        <w:rPr>
          <w:b w:val="1"/>
        </w:rPr>
      </w:pPr>
      <w:r w:rsidDel="00000000" w:rsidR="00000000" w:rsidRPr="00000000">
        <w:rPr>
          <w:rtl w:val="0"/>
        </w:rPr>
      </w:r>
    </w:p>
    <w:p w:rsidR="00000000" w:rsidDel="00000000" w:rsidP="00000000" w:rsidRDefault="00000000" w:rsidRPr="00000000" w14:paraId="0000006C">
      <w:pPr>
        <w:numPr>
          <w:ilvl w:val="0"/>
          <w:numId w:val="23"/>
        </w:numPr>
        <w:spacing w:after="100" w:before="100" w:lineRule="auto"/>
        <w:ind w:left="720" w:hanging="360"/>
        <w:rPr>
          <w:b w:val="1"/>
        </w:rPr>
      </w:pPr>
      <w:hyperlink r:id="rId18">
        <w:r w:rsidDel="00000000" w:rsidR="00000000" w:rsidRPr="00000000">
          <w:rPr>
            <w:b w:val="1"/>
            <w:color w:val="1155cc"/>
            <w:u w:val="single"/>
            <w:rtl w:val="0"/>
          </w:rPr>
          <w:t xml:space="preserve">Base OSCOUR</w:t>
        </w:r>
      </w:hyperlink>
      <w:r w:rsidDel="00000000" w:rsidR="00000000" w:rsidRPr="00000000">
        <w:rPr>
          <w:b w:val="1"/>
          <w:rtl w:val="0"/>
        </w:rPr>
        <w:t xml:space="preserve"> - Santé Publique France</w:t>
      </w:r>
    </w:p>
    <w:p w:rsidR="00000000" w:rsidDel="00000000" w:rsidP="00000000" w:rsidRDefault="00000000" w:rsidRPr="00000000" w14:paraId="0000006D">
      <w:pPr>
        <w:spacing w:after="100" w:before="100" w:lineRule="auto"/>
        <w:rPr>
          <w:b w:val="1"/>
        </w:rPr>
      </w:pPr>
      <w:r w:rsidDel="00000000" w:rsidR="00000000" w:rsidRPr="00000000">
        <w:rPr>
          <w:rtl w:val="0"/>
        </w:rPr>
        <w:t xml:space="preserve">La base de résumés des passages individuels aux urgences (OSCOUR) est un réseau de surveillance national basé sur la transmission obligatoire des données du résumé de passage aux urgences à Santé Publique France. Plus de 130 millions de passages aux urgences sont ainsi répertoriés depuis 2010.</w:t>
      </w:r>
      <w:r w:rsidDel="00000000" w:rsidR="00000000" w:rsidRPr="00000000">
        <w:rPr>
          <w:rtl w:val="0"/>
        </w:rPr>
      </w:r>
    </w:p>
    <w:p w:rsidR="00000000" w:rsidDel="00000000" w:rsidP="00000000" w:rsidRDefault="00000000" w:rsidRPr="00000000" w14:paraId="0000006E">
      <w:pPr>
        <w:spacing w:after="100" w:before="100" w:lineRule="auto"/>
        <w:rPr>
          <w:color w:val="1155cc"/>
          <w:u w:val="single"/>
        </w:rPr>
      </w:pPr>
      <w:r w:rsidDel="00000000" w:rsidR="00000000" w:rsidRPr="00000000">
        <w:rPr>
          <w:rtl w:val="0"/>
        </w:rPr>
      </w:r>
    </w:p>
    <w:p w:rsidR="00000000" w:rsidDel="00000000" w:rsidP="00000000" w:rsidRDefault="00000000" w:rsidRPr="00000000" w14:paraId="0000006F">
      <w:pPr>
        <w:numPr>
          <w:ilvl w:val="0"/>
          <w:numId w:val="26"/>
        </w:numPr>
        <w:spacing w:after="100" w:before="100" w:lineRule="auto"/>
        <w:ind w:left="720" w:hanging="360"/>
        <w:rPr>
          <w:b w:val="1"/>
        </w:rPr>
      </w:pPr>
      <w:hyperlink r:id="rId19">
        <w:r w:rsidDel="00000000" w:rsidR="00000000" w:rsidRPr="00000000">
          <w:rPr>
            <w:b w:val="1"/>
            <w:color w:val="1155cc"/>
            <w:u w:val="single"/>
            <w:rtl w:val="0"/>
          </w:rPr>
          <w:t xml:space="preserve">Base P4DP</w:t>
        </w:r>
      </w:hyperlink>
      <w:r w:rsidDel="00000000" w:rsidR="00000000" w:rsidRPr="00000000">
        <w:rPr>
          <w:b w:val="1"/>
          <w:rtl w:val="0"/>
        </w:rPr>
        <w:t xml:space="preserve"> - Collège National des Généralistes Enseignants</w:t>
      </w:r>
      <w:r w:rsidDel="00000000" w:rsidR="00000000" w:rsidRPr="00000000">
        <w:rPr>
          <w:rtl w:val="0"/>
        </w:rPr>
      </w:r>
    </w:p>
    <w:p w:rsidR="00000000" w:rsidDel="00000000" w:rsidP="00000000" w:rsidRDefault="00000000" w:rsidRPr="00000000" w14:paraId="00000070">
      <w:pPr>
        <w:spacing w:after="100" w:before="100" w:lineRule="auto"/>
        <w:rPr/>
      </w:pPr>
      <w:r w:rsidDel="00000000" w:rsidR="00000000" w:rsidRPr="00000000">
        <w:rPr>
          <w:rtl w:val="0"/>
        </w:rPr>
        <w:t xml:space="preserve">La base P4DP (Platform for Data in Primary Care) est un entrepôt national de données de médecine de ville constitué à partir de la patientèle des médecins généralistes participant au projet P4DP, dont la volumétrie est estimée à 4,9 millions de patients d'ici 3 ans avec la participation de 2 000 médecins.</w:t>
      </w:r>
    </w:p>
    <w:p w:rsidR="00000000" w:rsidDel="00000000" w:rsidP="00000000" w:rsidRDefault="00000000" w:rsidRPr="00000000" w14:paraId="00000071">
      <w:pPr>
        <w:spacing w:after="100" w:before="100" w:lineRule="auto"/>
        <w:rPr/>
      </w:pPr>
      <w:r w:rsidDel="00000000" w:rsidR="00000000" w:rsidRPr="00000000">
        <w:rPr>
          <w:rtl w:val="0"/>
        </w:rPr>
      </w:r>
    </w:p>
    <w:p w:rsidR="00000000" w:rsidDel="00000000" w:rsidP="00000000" w:rsidRDefault="00000000" w:rsidRPr="00000000" w14:paraId="00000072">
      <w:pPr>
        <w:numPr>
          <w:ilvl w:val="0"/>
          <w:numId w:val="3"/>
        </w:numPr>
        <w:spacing w:after="100" w:before="100" w:lineRule="auto"/>
        <w:ind w:left="720" w:hanging="360"/>
        <w:rPr>
          <w:b w:val="1"/>
        </w:rPr>
      </w:pPr>
      <w:r w:rsidDel="00000000" w:rsidR="00000000" w:rsidRPr="00000000">
        <w:rPr>
          <w:b w:val="1"/>
          <w:rtl w:val="0"/>
        </w:rPr>
        <w:t xml:space="preserve">Base Precision Predict</w:t>
      </w:r>
      <w:r w:rsidDel="00000000" w:rsidR="00000000" w:rsidRPr="00000000">
        <w:rPr>
          <w:b w:val="1"/>
          <w:rtl w:val="0"/>
        </w:rPr>
        <w:t xml:space="preserve"> - Institut Curie</w:t>
      </w:r>
      <w:r w:rsidDel="00000000" w:rsidR="00000000" w:rsidRPr="00000000">
        <w:rPr>
          <w:rtl w:val="0"/>
        </w:rPr>
      </w:r>
    </w:p>
    <w:p w:rsidR="00000000" w:rsidDel="00000000" w:rsidP="00000000" w:rsidRDefault="00000000" w:rsidRPr="00000000" w14:paraId="00000073">
      <w:pPr>
        <w:spacing w:after="100" w:before="100" w:lineRule="auto"/>
        <w:rPr/>
      </w:pPr>
      <w:r w:rsidDel="00000000" w:rsidR="00000000" w:rsidRPr="00000000">
        <w:rPr>
          <w:rtl w:val="0"/>
        </w:rPr>
        <w:t xml:space="preserve">La base de données cliniques Precision Predict, soutenue par l’Institut Curie rassemble les données de 550 patients atteints d’un adénocarcinome pulmonaire pris en charge dans un des 9 centres de lutte contre le cancer entre 2010 et 2023.</w:t>
      </w:r>
    </w:p>
    <w:p w:rsidR="00000000" w:rsidDel="00000000" w:rsidP="00000000" w:rsidRDefault="00000000" w:rsidRPr="00000000" w14:paraId="00000074">
      <w:pPr>
        <w:spacing w:after="100" w:before="100" w:lineRule="auto"/>
        <w:rPr/>
      </w:pPr>
      <w:r w:rsidDel="00000000" w:rsidR="00000000" w:rsidRPr="00000000">
        <w:rPr>
          <w:rtl w:val="0"/>
        </w:rPr>
      </w:r>
    </w:p>
    <w:p w:rsidR="00000000" w:rsidDel="00000000" w:rsidP="00000000" w:rsidRDefault="00000000" w:rsidRPr="00000000" w14:paraId="00000075">
      <w:pPr>
        <w:numPr>
          <w:ilvl w:val="0"/>
          <w:numId w:val="8"/>
        </w:numPr>
        <w:spacing w:after="100" w:before="100" w:lineRule="auto"/>
        <w:ind w:left="720" w:hanging="360"/>
        <w:rPr>
          <w:b w:val="1"/>
        </w:rPr>
      </w:pPr>
      <w:r w:rsidDel="00000000" w:rsidR="00000000" w:rsidRPr="00000000">
        <w:rPr>
          <w:b w:val="1"/>
          <w:rtl w:val="0"/>
        </w:rPr>
        <w:t xml:space="preserve">Base REALIGIST</w:t>
      </w:r>
      <w:r w:rsidDel="00000000" w:rsidR="00000000" w:rsidRPr="00000000">
        <w:rPr>
          <w:b w:val="1"/>
          <w:rtl w:val="0"/>
        </w:rPr>
        <w:t xml:space="preserve"> - Institut Curie</w:t>
      </w:r>
    </w:p>
    <w:p w:rsidR="00000000" w:rsidDel="00000000" w:rsidP="00000000" w:rsidRDefault="00000000" w:rsidRPr="00000000" w14:paraId="00000076">
      <w:pPr>
        <w:spacing w:after="100" w:before="100" w:lineRule="auto"/>
        <w:rPr/>
      </w:pPr>
      <w:r w:rsidDel="00000000" w:rsidR="00000000" w:rsidRPr="00000000">
        <w:rPr>
          <w:rtl w:val="0"/>
        </w:rPr>
        <w:t xml:space="preserve">La base de données cliniques et radiologiques REALIGIST rassemble les données de 2500 patients diagnostiqués pour tumeurs stromales gastro-intestinales (GIST) à tout stade entre 2010 et 2020, et pris en charge dans 7 CLCC.</w:t>
      </w:r>
    </w:p>
    <w:p w:rsidR="00000000" w:rsidDel="00000000" w:rsidP="00000000" w:rsidRDefault="00000000" w:rsidRPr="00000000" w14:paraId="00000077">
      <w:pPr>
        <w:spacing w:after="100" w:before="100" w:lineRule="auto"/>
        <w:rPr/>
      </w:pPr>
      <w:r w:rsidDel="00000000" w:rsidR="00000000" w:rsidRPr="00000000">
        <w:rPr>
          <w:rtl w:val="0"/>
        </w:rPr>
      </w:r>
    </w:p>
    <w:p w:rsidR="00000000" w:rsidDel="00000000" w:rsidP="00000000" w:rsidRDefault="00000000" w:rsidRPr="00000000" w14:paraId="00000078">
      <w:pPr>
        <w:numPr>
          <w:ilvl w:val="0"/>
          <w:numId w:val="6"/>
        </w:numPr>
        <w:spacing w:after="100" w:before="100" w:lineRule="auto"/>
        <w:ind w:left="720" w:hanging="360"/>
        <w:rPr>
          <w:b w:val="1"/>
        </w:rPr>
      </w:pPr>
      <w:r w:rsidDel="00000000" w:rsidR="00000000" w:rsidRPr="00000000">
        <w:rPr>
          <w:b w:val="1"/>
          <w:rtl w:val="0"/>
        </w:rPr>
        <w:t xml:space="preserve">Base SEDAAR </w:t>
      </w:r>
      <w:r w:rsidDel="00000000" w:rsidR="00000000" w:rsidRPr="00000000">
        <w:rPr>
          <w:b w:val="1"/>
          <w:rtl w:val="0"/>
        </w:rPr>
        <w:t xml:space="preserve">- Hôpital Fondation Rothschild</w:t>
      </w:r>
    </w:p>
    <w:p w:rsidR="00000000" w:rsidDel="00000000" w:rsidP="00000000" w:rsidRDefault="00000000" w:rsidRPr="00000000" w14:paraId="00000079">
      <w:pPr>
        <w:spacing w:after="100" w:before="100" w:lineRule="auto"/>
        <w:rPr/>
      </w:pPr>
      <w:r w:rsidDel="00000000" w:rsidR="00000000" w:rsidRPr="00000000">
        <w:rPr>
          <w:rtl w:val="0"/>
        </w:rPr>
        <w:t xml:space="preserve">La base de données d’imagerie (fond d’oeil) et de données cliniques issues du projet SEDAAR (Screening for Eye Disease using Automated Analysis of Retinal photography) rassemble les données de 20 000 patients du service de consultation d’ophtalmologie de l’Hôpital Fondation Alphonse de Rothschild ayant été suivis entre 2010 et 2021.</w:t>
      </w:r>
      <w:r w:rsidDel="00000000" w:rsidR="00000000" w:rsidRPr="00000000">
        <w:rPr>
          <w:rtl w:val="0"/>
        </w:rPr>
      </w:r>
    </w:p>
    <w:p w:rsidR="00000000" w:rsidDel="00000000" w:rsidP="00000000" w:rsidRDefault="00000000" w:rsidRPr="00000000" w14:paraId="0000007A">
      <w:pPr>
        <w:spacing w:after="100" w:before="100" w:lineRule="auto"/>
        <w:rPr/>
      </w:pPr>
      <w:r w:rsidDel="00000000" w:rsidR="00000000" w:rsidRPr="00000000">
        <w:rPr>
          <w:rtl w:val="0"/>
        </w:rPr>
      </w:r>
    </w:p>
    <w:p w:rsidR="00000000" w:rsidDel="00000000" w:rsidP="00000000" w:rsidRDefault="00000000" w:rsidRPr="00000000" w14:paraId="0000007B">
      <w:pPr>
        <w:numPr>
          <w:ilvl w:val="0"/>
          <w:numId w:val="3"/>
        </w:numPr>
        <w:spacing w:after="100" w:before="100" w:lineRule="auto"/>
        <w:ind w:left="720" w:hanging="360"/>
        <w:rPr>
          <w:b w:val="1"/>
          <w:i w:val="1"/>
        </w:rPr>
      </w:pPr>
      <w:hyperlink r:id="rId20">
        <w:r w:rsidDel="00000000" w:rsidR="00000000" w:rsidRPr="00000000">
          <w:rPr>
            <w:b w:val="1"/>
            <w:color w:val="1155cc"/>
            <w:u w:val="single"/>
            <w:rtl w:val="0"/>
          </w:rPr>
          <w:t xml:space="preserve">Base TARPON</w:t>
        </w:r>
      </w:hyperlink>
      <w:r w:rsidDel="00000000" w:rsidR="00000000" w:rsidRPr="00000000">
        <w:rPr>
          <w:b w:val="1"/>
          <w:rtl w:val="0"/>
        </w:rPr>
        <w:t xml:space="preserve"> - CHU de Bordeaux</w:t>
      </w:r>
    </w:p>
    <w:p w:rsidR="00000000" w:rsidDel="00000000" w:rsidP="00000000" w:rsidRDefault="00000000" w:rsidRPr="00000000" w14:paraId="0000007C">
      <w:pPr>
        <w:spacing w:after="100" w:before="100" w:lineRule="auto"/>
        <w:rPr/>
      </w:pPr>
      <w:r w:rsidDel="00000000" w:rsidR="00000000" w:rsidRPr="00000000">
        <w:rPr>
          <w:rtl w:val="0"/>
        </w:rPr>
        <w:t xml:space="preserve">La base TARPON (Traitement Automatique des Résumés de Passages aux Urgences pour un Observatoire National) réunit les données cliniques et administratives de 200 000 patients fréquentant le service des urgences adultes de l’hôpital Pellegrin du CHU de Bordeaux avec ou sans hospitalisation entre 2013 et 2020.</w:t>
      </w:r>
    </w:p>
    <w:p w:rsidR="00000000" w:rsidDel="00000000" w:rsidP="00000000" w:rsidRDefault="00000000" w:rsidRPr="00000000" w14:paraId="0000007D">
      <w:pPr>
        <w:spacing w:after="100" w:before="100" w:lineRule="auto"/>
        <w:rPr/>
      </w:pPr>
      <w:r w:rsidDel="00000000" w:rsidR="00000000" w:rsidRPr="00000000">
        <w:rPr>
          <w:rtl w:val="0"/>
        </w:rPr>
      </w:r>
    </w:p>
    <w:p w:rsidR="00000000" w:rsidDel="00000000" w:rsidP="00000000" w:rsidRDefault="00000000" w:rsidRPr="00000000" w14:paraId="0000007E">
      <w:pPr>
        <w:numPr>
          <w:ilvl w:val="0"/>
          <w:numId w:val="5"/>
        </w:numPr>
        <w:spacing w:after="100" w:before="100" w:lineRule="auto"/>
        <w:ind w:left="720" w:hanging="360"/>
        <w:rPr>
          <w:b w:val="1"/>
        </w:rPr>
      </w:pPr>
      <w:r w:rsidDel="00000000" w:rsidR="00000000" w:rsidRPr="00000000">
        <w:rPr>
          <w:b w:val="1"/>
          <w:rtl w:val="0"/>
        </w:rPr>
        <w:t xml:space="preserve">Base UroCCR - CHU de Bordeaux</w:t>
      </w:r>
    </w:p>
    <w:p w:rsidR="00000000" w:rsidDel="00000000" w:rsidP="00000000" w:rsidRDefault="00000000" w:rsidRPr="00000000" w14:paraId="0000007F">
      <w:pPr>
        <w:spacing w:after="200" w:before="0" w:lineRule="auto"/>
        <w:rPr/>
      </w:pPr>
      <w:r w:rsidDel="00000000" w:rsidR="00000000" w:rsidRPr="00000000">
        <w:rPr>
          <w:rtl w:val="0"/>
        </w:rPr>
        <w:t xml:space="preserve">UroCCR est un registre clinique biologique sur le cancer du rein, hébergé au CHU de Bordeaux, qui intègre les données de 17 200 patients depuis 2012.</w:t>
      </w:r>
      <w:r w:rsidDel="00000000" w:rsidR="00000000" w:rsidRPr="00000000">
        <w:rPr>
          <w:rtl w:val="0"/>
        </w:rPr>
      </w:r>
    </w:p>
    <w:p w:rsidR="00000000" w:rsidDel="00000000" w:rsidP="00000000" w:rsidRDefault="00000000" w:rsidRPr="00000000" w14:paraId="00000080">
      <w:pPr>
        <w:spacing w:after="160" w:before="200" w:lineRule="auto"/>
        <w:ind w:left="0" w:firstLine="0"/>
        <w:rPr/>
      </w:pPr>
      <w:r w:rsidDel="00000000" w:rsidR="00000000" w:rsidRPr="00000000">
        <w:rPr>
          <w:rtl w:val="0"/>
        </w:rPr>
      </w:r>
    </w:p>
    <w:p w:rsidR="00000000" w:rsidDel="00000000" w:rsidP="00000000" w:rsidRDefault="00000000" w:rsidRPr="00000000" w14:paraId="00000081">
      <w:pPr>
        <w:spacing w:after="160" w:before="200" w:lineRule="auto"/>
        <w:ind w:left="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082">
      <w:pPr>
        <w:pStyle w:val="Heading1"/>
        <w:rPr/>
      </w:pPr>
      <w:bookmarkStart w:colFirst="0" w:colLast="0" w:name="_heading=h.44sinio" w:id="12"/>
      <w:bookmarkEnd w:id="12"/>
      <w:r w:rsidDel="00000000" w:rsidR="00000000" w:rsidRPr="00000000">
        <w:rPr>
          <w:rtl w:val="0"/>
        </w:rPr>
        <w:t xml:space="preserve">2. CRITERES D’ELIGIBILITE</w:t>
      </w:r>
    </w:p>
    <w:p w:rsidR="00000000" w:rsidDel="00000000" w:rsidP="00000000" w:rsidRDefault="00000000" w:rsidRPr="00000000" w14:paraId="00000083">
      <w:pPr>
        <w:spacing w:after="200" w:before="0" w:lineRule="auto"/>
        <w:rPr/>
      </w:pPr>
      <w:r w:rsidDel="00000000" w:rsidR="00000000" w:rsidRPr="00000000">
        <w:rPr>
          <w:rtl w:val="0"/>
        </w:rPr>
        <w:t xml:space="preserve">Le projet doit être conforme aux critères d’éligibilité suivants :</w:t>
      </w:r>
    </w:p>
    <w:p w:rsidR="00000000" w:rsidDel="00000000" w:rsidP="00000000" w:rsidRDefault="00000000" w:rsidRPr="00000000" w14:paraId="00000084">
      <w:pPr>
        <w:spacing w:after="200" w:before="0" w:line="240" w:lineRule="auto"/>
        <w:jc w:val="both"/>
        <w:rPr>
          <w:b w:val="1"/>
        </w:rPr>
      </w:pPr>
      <w:r w:rsidDel="00000000" w:rsidR="00000000" w:rsidRPr="00000000">
        <w:rPr>
          <w:b w:val="1"/>
          <w:rtl w:val="0"/>
        </w:rPr>
        <w:t xml:space="preserve">Dossier</w:t>
      </w:r>
    </w:p>
    <w:p w:rsidR="00000000" w:rsidDel="00000000" w:rsidP="00000000" w:rsidRDefault="00000000" w:rsidRPr="00000000" w14:paraId="00000085">
      <w:pPr>
        <w:numPr>
          <w:ilvl w:val="0"/>
          <w:numId w:val="17"/>
        </w:numPr>
        <w:spacing w:after="200" w:before="0" w:line="240" w:lineRule="auto"/>
        <w:ind w:left="720" w:hanging="360"/>
        <w:jc w:val="both"/>
        <w:rPr/>
      </w:pPr>
      <w:r w:rsidDel="00000000" w:rsidR="00000000" w:rsidRPr="00000000">
        <w:rPr>
          <w:rtl w:val="0"/>
        </w:rPr>
        <w:t xml:space="preserve">Formation d’un dossier de candidature complet et conforme au format imposé (cf. section 8). En particulier, tous les paragraphes, tableaux et onglets devront être renseignés, et les marges et tailles des polices respectées. </w:t>
      </w:r>
    </w:p>
    <w:p w:rsidR="00000000" w:rsidDel="00000000" w:rsidP="00000000" w:rsidRDefault="00000000" w:rsidRPr="00000000" w14:paraId="00000086">
      <w:pPr>
        <w:numPr>
          <w:ilvl w:val="0"/>
          <w:numId w:val="17"/>
        </w:numPr>
        <w:spacing w:after="200" w:before="0" w:line="240" w:lineRule="auto"/>
        <w:ind w:left="720" w:hanging="360"/>
        <w:jc w:val="both"/>
        <w:rPr/>
      </w:pPr>
      <w:r w:rsidDel="00000000" w:rsidR="00000000" w:rsidRPr="00000000">
        <w:rPr>
          <w:rtl w:val="0"/>
        </w:rPr>
        <w:t xml:space="preserve">Soumission du dossier, dans les délais, sous forme électronique sur le site </w:t>
      </w:r>
      <w:hyperlink r:id="rId21">
        <w:r w:rsidDel="00000000" w:rsidR="00000000" w:rsidRPr="00000000">
          <w:rPr>
            <w:color w:val="1155cc"/>
            <w:u w:val="single"/>
            <w:rtl w:val="0"/>
          </w:rPr>
          <w:t xml:space="preserve">démarches-simplifiées.fr</w:t>
        </w:r>
      </w:hyperlink>
      <w:r w:rsidDel="00000000" w:rsidR="00000000" w:rsidRPr="00000000">
        <w:rPr>
          <w:rtl w:val="0"/>
        </w:rPr>
      </w:r>
    </w:p>
    <w:p w:rsidR="00000000" w:rsidDel="00000000" w:rsidP="00000000" w:rsidRDefault="00000000" w:rsidRPr="00000000" w14:paraId="00000087">
      <w:pPr>
        <w:spacing w:after="200" w:before="0" w:line="240" w:lineRule="auto"/>
        <w:jc w:val="both"/>
        <w:rPr/>
      </w:pPr>
      <w:r w:rsidDel="00000000" w:rsidR="00000000" w:rsidRPr="00000000">
        <w:rPr>
          <w:rtl w:val="0"/>
        </w:rPr>
      </w:r>
    </w:p>
    <w:p w:rsidR="00000000" w:rsidDel="00000000" w:rsidP="00000000" w:rsidRDefault="00000000" w:rsidRPr="00000000" w14:paraId="00000088">
      <w:pPr>
        <w:spacing w:after="200" w:before="0" w:line="240" w:lineRule="auto"/>
        <w:jc w:val="both"/>
        <w:rPr>
          <w:b w:val="1"/>
        </w:rPr>
      </w:pPr>
      <w:r w:rsidDel="00000000" w:rsidR="00000000" w:rsidRPr="00000000">
        <w:rPr>
          <w:b w:val="1"/>
          <w:rtl w:val="0"/>
        </w:rPr>
        <w:t xml:space="preserve">Projet</w:t>
      </w:r>
    </w:p>
    <w:p w:rsidR="00000000" w:rsidDel="00000000" w:rsidP="00000000" w:rsidRDefault="00000000" w:rsidRPr="00000000" w14:paraId="00000089">
      <w:pPr>
        <w:numPr>
          <w:ilvl w:val="0"/>
          <w:numId w:val="18"/>
        </w:numPr>
        <w:spacing w:after="200" w:before="0" w:line="240" w:lineRule="auto"/>
        <w:ind w:left="720" w:hanging="360"/>
        <w:jc w:val="both"/>
        <w:rPr/>
      </w:pPr>
      <w:r w:rsidDel="00000000" w:rsidR="00000000" w:rsidRPr="00000000">
        <w:rPr>
          <w:rtl w:val="0"/>
        </w:rPr>
        <w:t xml:space="preserve">Projet utilisant les données d’au moins une des bases de la liste ci-dessus (cf. section 1.4), appariée ou non à la base principale du SNDS</w:t>
      </w:r>
    </w:p>
    <w:p w:rsidR="00000000" w:rsidDel="00000000" w:rsidP="00000000" w:rsidRDefault="00000000" w:rsidRPr="00000000" w14:paraId="0000008A">
      <w:pPr>
        <w:numPr>
          <w:ilvl w:val="0"/>
          <w:numId w:val="18"/>
        </w:numPr>
        <w:spacing w:after="200" w:before="0" w:line="240" w:lineRule="auto"/>
        <w:ind w:left="720" w:hanging="360"/>
        <w:jc w:val="both"/>
        <w:rPr/>
      </w:pPr>
      <w:r w:rsidDel="00000000" w:rsidR="00000000" w:rsidRPr="00000000">
        <w:rPr>
          <w:rtl w:val="0"/>
        </w:rPr>
        <w:t xml:space="preserve">Présentation d’une demande avec un budget d'environ </w:t>
      </w:r>
      <w:r w:rsidDel="00000000" w:rsidR="00000000" w:rsidRPr="00000000">
        <w:rPr>
          <w:rtl w:val="0"/>
        </w:rPr>
        <w:t xml:space="preserve">100 000</w:t>
      </w:r>
      <w:r w:rsidDel="00000000" w:rsidR="00000000" w:rsidRPr="00000000">
        <w:rPr>
          <w:rtl w:val="0"/>
        </w:rPr>
        <w:t xml:space="preserve"> euros. Les travaux associés à la demande d’aide ne doivent pas avoir commencé avant l’annonce des lauréats ;</w:t>
      </w:r>
    </w:p>
    <w:p w:rsidR="00000000" w:rsidDel="00000000" w:rsidP="00000000" w:rsidRDefault="00000000" w:rsidRPr="00000000" w14:paraId="0000008B">
      <w:pPr>
        <w:numPr>
          <w:ilvl w:val="0"/>
          <w:numId w:val="18"/>
        </w:numPr>
        <w:spacing w:after="200" w:before="0" w:line="240" w:lineRule="auto"/>
        <w:ind w:left="720" w:hanging="360"/>
        <w:jc w:val="both"/>
        <w:rPr/>
      </w:pPr>
      <w:r w:rsidDel="00000000" w:rsidR="00000000" w:rsidRPr="00000000">
        <w:rPr>
          <w:u w:val="none"/>
          <w:rtl w:val="0"/>
        </w:rPr>
        <w:t xml:space="preserve">Proposition d’une </w:t>
      </w:r>
      <w:r w:rsidDel="00000000" w:rsidR="00000000" w:rsidRPr="00000000">
        <w:rPr>
          <w:rtl w:val="0"/>
        </w:rPr>
        <w:t xml:space="preserve">assiette éligible de travaux qui ne fait pas ou n’a pas fait l’objet de financements publics hors du cadre du présent appel à </w:t>
      </w:r>
      <w:r w:rsidDel="00000000" w:rsidR="00000000" w:rsidRPr="00000000">
        <w:rPr>
          <w:rtl w:val="0"/>
        </w:rPr>
        <w:t xml:space="preserve">manifestation</w:t>
      </w:r>
      <w:r w:rsidDel="00000000" w:rsidR="00000000" w:rsidRPr="00000000">
        <w:rPr>
          <w:rtl w:val="0"/>
        </w:rPr>
        <w:t xml:space="preserve"> d’intérêt : par l’État, les collectivités territoriales, l’Union européenne ou leurs agences ;</w:t>
      </w:r>
    </w:p>
    <w:p w:rsidR="00000000" w:rsidDel="00000000" w:rsidP="00000000" w:rsidRDefault="00000000" w:rsidRPr="00000000" w14:paraId="0000008C">
      <w:pPr>
        <w:numPr>
          <w:ilvl w:val="0"/>
          <w:numId w:val="18"/>
        </w:numPr>
        <w:spacing w:after="200" w:before="0" w:line="240" w:lineRule="auto"/>
        <w:ind w:left="720" w:hanging="360"/>
        <w:jc w:val="both"/>
        <w:rPr/>
      </w:pPr>
      <w:r w:rsidDel="00000000" w:rsidR="00000000" w:rsidRPr="00000000">
        <w:rPr>
          <w:u w:val="none"/>
          <w:rtl w:val="0"/>
        </w:rPr>
        <w:t xml:space="preserve">Déroulement</w:t>
      </w:r>
      <w:r w:rsidDel="00000000" w:rsidR="00000000" w:rsidRPr="00000000">
        <w:rPr>
          <w:rtl w:val="0"/>
        </w:rPr>
        <w:t xml:space="preserve"> sur une durée ne dépassant pas </w:t>
      </w:r>
      <w:r w:rsidDel="00000000" w:rsidR="00000000" w:rsidRPr="00000000">
        <w:rPr>
          <w:rtl w:val="0"/>
        </w:rPr>
        <w:t xml:space="preserve">24</w:t>
      </w:r>
      <w:r w:rsidDel="00000000" w:rsidR="00000000" w:rsidRPr="00000000">
        <w:rPr>
          <w:rtl w:val="0"/>
        </w:rPr>
        <w:t xml:space="preserve"> mois à compter de la date de la signature de la convention de collaboration ;</w:t>
      </w:r>
    </w:p>
    <w:p w:rsidR="00000000" w:rsidDel="00000000" w:rsidP="00000000" w:rsidRDefault="00000000" w:rsidRPr="00000000" w14:paraId="0000008D">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200" w:before="0" w:lineRule="auto"/>
        <w:ind w:left="720" w:hanging="360"/>
        <w:rPr/>
      </w:pPr>
      <w:r w:rsidDel="00000000" w:rsidR="00000000" w:rsidRPr="00000000">
        <w:rPr>
          <w:rtl w:val="0"/>
        </w:rPr>
        <w:t xml:space="preserve">Formulation d’une demande d’accompagnement par le Health Data Hub cohérente avec les accompagnements évoqués en section 5 ;</w:t>
      </w:r>
    </w:p>
    <w:p w:rsidR="00000000" w:rsidDel="00000000" w:rsidP="00000000" w:rsidRDefault="00000000" w:rsidRPr="00000000" w14:paraId="000000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rtl w:val="0"/>
        </w:rPr>
        <w:t xml:space="preserve">Prévoir le partage en open source de programmes et de documentations ayant un potentiel de réutilisation. En contribuant à ce partage, les acteurs participent à la mutualisation des efforts dans le développement d’outils fiables d’analyse des données de santé, au bénéfice de tous. Le partage se fait via des licences permissives.</w:t>
      </w:r>
    </w:p>
    <w:p w:rsidR="00000000" w:rsidDel="00000000" w:rsidP="00000000" w:rsidRDefault="00000000" w:rsidRPr="00000000" w14:paraId="0000008F">
      <w:pPr>
        <w:spacing w:after="200" w:before="0" w:line="240" w:lineRule="auto"/>
        <w:ind w:left="0" w:firstLine="0"/>
        <w:jc w:val="both"/>
        <w:rPr/>
      </w:pPr>
      <w:r w:rsidDel="00000000" w:rsidR="00000000" w:rsidRPr="00000000">
        <w:rPr>
          <w:rtl w:val="0"/>
        </w:rPr>
      </w:r>
    </w:p>
    <w:p w:rsidR="00000000" w:rsidDel="00000000" w:rsidP="00000000" w:rsidRDefault="00000000" w:rsidRPr="00000000" w14:paraId="00000090">
      <w:pPr>
        <w:spacing w:after="200" w:before="0" w:line="240" w:lineRule="auto"/>
        <w:ind w:left="0" w:firstLine="0"/>
        <w:jc w:val="both"/>
        <w:rPr>
          <w:b w:val="1"/>
        </w:rPr>
      </w:pPr>
      <w:r w:rsidDel="00000000" w:rsidR="00000000" w:rsidRPr="00000000">
        <w:rPr>
          <w:b w:val="1"/>
          <w:rtl w:val="0"/>
        </w:rPr>
        <w:t xml:space="preserve">Porteur(s) du projet</w:t>
      </w:r>
    </w:p>
    <w:p w:rsidR="00000000" w:rsidDel="00000000" w:rsidP="00000000" w:rsidRDefault="00000000" w:rsidRPr="00000000" w14:paraId="00000091">
      <w:pPr>
        <w:numPr>
          <w:ilvl w:val="0"/>
          <w:numId w:val="19"/>
        </w:numPr>
        <w:spacing w:after="200" w:before="0" w:line="240" w:lineRule="auto"/>
        <w:ind w:left="720" w:hanging="360"/>
        <w:jc w:val="both"/>
        <w:rPr/>
      </w:pPr>
      <w:r w:rsidDel="00000000" w:rsidR="00000000" w:rsidRPr="00000000">
        <w:rPr>
          <w:rtl w:val="0"/>
        </w:rPr>
        <w:t xml:space="preserve">Le porteur doit être une personne morale ;</w:t>
      </w:r>
    </w:p>
    <w:p w:rsidR="00000000" w:rsidDel="00000000" w:rsidP="00000000" w:rsidRDefault="00000000" w:rsidRPr="00000000" w14:paraId="000000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pPr>
      <w:r w:rsidDel="00000000" w:rsidR="00000000" w:rsidRPr="00000000">
        <w:rPr>
          <w:rtl w:val="0"/>
        </w:rPr>
        <w:t xml:space="preserve">Les porteurs de projet devront être à jour de leurs obligations fiscales et sociales.</w:t>
      </w:r>
    </w:p>
    <w:p w:rsidR="00000000" w:rsidDel="00000000" w:rsidP="00000000" w:rsidRDefault="00000000" w:rsidRPr="00000000" w14:paraId="00000093">
      <w:pPr>
        <w:spacing w:after="200" w:before="0" w:line="240" w:lineRule="auto"/>
        <w:jc w:val="both"/>
        <w:rPr>
          <w:b w:val="1"/>
        </w:rPr>
      </w:pPr>
      <w:r w:rsidDel="00000000" w:rsidR="00000000" w:rsidRPr="00000000">
        <w:rPr>
          <w:b w:val="1"/>
          <w:rtl w:val="0"/>
        </w:rPr>
        <w:t xml:space="preserve">Les projets ne respectant pas l’un des critères d’éligibilité sont écartés du processus de sélection, sans recours possible.</w:t>
      </w:r>
    </w:p>
    <w:p w:rsidR="00000000" w:rsidDel="00000000" w:rsidP="00000000" w:rsidRDefault="00000000" w:rsidRPr="00000000" w14:paraId="00000094">
      <w:pPr>
        <w:spacing w:after="240" w:before="240" w:line="24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1"/>
        <w:rPr/>
      </w:pPr>
      <w:bookmarkStart w:colFirst="0" w:colLast="0" w:name="_heading=h.2jxsxqh" w:id="13"/>
      <w:bookmarkEnd w:id="13"/>
      <w:r w:rsidDel="00000000" w:rsidR="00000000" w:rsidRPr="00000000">
        <w:rPr>
          <w:rtl w:val="0"/>
        </w:rPr>
        <w:t xml:space="preserve">3. CRITERES DE SELECTION</w:t>
      </w:r>
    </w:p>
    <w:p w:rsidR="00000000" w:rsidDel="00000000" w:rsidP="00000000" w:rsidRDefault="00000000" w:rsidRPr="00000000" w14:paraId="00000096">
      <w:pPr>
        <w:rPr/>
      </w:pPr>
      <w:r w:rsidDel="00000000" w:rsidR="00000000" w:rsidRPr="00000000">
        <w:rPr>
          <w:rtl w:val="0"/>
        </w:rPr>
        <w:t xml:space="preserve">La sélection des projets s’appuiera prioritairement sur les critères suivants :</w:t>
      </w:r>
    </w:p>
    <w:p w:rsidR="00000000" w:rsidDel="00000000" w:rsidP="00000000" w:rsidRDefault="00000000" w:rsidRPr="00000000" w14:paraId="00000097">
      <w:pPr>
        <w:numPr>
          <w:ilvl w:val="0"/>
          <w:numId w:val="10"/>
        </w:numPr>
        <w:spacing w:after="0" w:line="240" w:lineRule="auto"/>
        <w:ind w:left="720" w:hanging="360"/>
        <w:rPr/>
      </w:pPr>
      <w:r w:rsidDel="00000000" w:rsidR="00000000" w:rsidRPr="00000000">
        <w:rPr>
          <w:b w:val="1"/>
          <w:rtl w:val="0"/>
        </w:rPr>
        <w:t xml:space="preserve">Bénéfices attendus</w:t>
      </w:r>
      <w:r w:rsidDel="00000000" w:rsidR="00000000" w:rsidRPr="00000000">
        <w:rPr>
          <w:rtl w:val="0"/>
        </w:rPr>
      </w:r>
    </w:p>
    <w:p w:rsidR="00000000" w:rsidDel="00000000" w:rsidP="00000000" w:rsidRDefault="00000000" w:rsidRPr="00000000" w14:paraId="00000098">
      <w:pPr>
        <w:numPr>
          <w:ilvl w:val="1"/>
          <w:numId w:val="10"/>
        </w:numPr>
        <w:spacing w:after="0" w:line="240" w:lineRule="auto"/>
        <w:ind w:left="1440" w:hanging="360"/>
        <w:rPr/>
      </w:pPr>
      <w:r w:rsidDel="00000000" w:rsidR="00000000" w:rsidRPr="00000000">
        <w:rPr>
          <w:rtl w:val="0"/>
        </w:rPr>
        <w:t xml:space="preserve">Justification de l’intérêt du projet et de son livrable (motivation de la recherche, mise en exergue de l’enjeu social et/ou sanitaire et/ou environnemental sous-jacent, bénéfices médico/économiques prévisionnels explicites)</w:t>
      </w:r>
    </w:p>
    <w:p w:rsidR="00000000" w:rsidDel="00000000" w:rsidP="00000000" w:rsidRDefault="00000000" w:rsidRPr="00000000" w14:paraId="00000099">
      <w:pPr>
        <w:numPr>
          <w:ilvl w:val="1"/>
          <w:numId w:val="10"/>
        </w:numPr>
        <w:spacing w:after="0" w:line="240" w:lineRule="auto"/>
        <w:ind w:left="1440" w:hanging="360"/>
        <w:rPr/>
      </w:pPr>
      <w:r w:rsidDel="00000000" w:rsidR="00000000" w:rsidRPr="00000000">
        <w:rPr>
          <w:rtl w:val="0"/>
        </w:rPr>
        <w:t xml:space="preserve">Pertinence du projet vis-à-vis de la thématique sélectionnée.</w:t>
      </w:r>
    </w:p>
    <w:p w:rsidR="00000000" w:rsidDel="00000000" w:rsidP="00000000" w:rsidRDefault="00000000" w:rsidRPr="00000000" w14:paraId="0000009A">
      <w:pPr>
        <w:numPr>
          <w:ilvl w:val="1"/>
          <w:numId w:val="10"/>
        </w:numPr>
        <w:spacing w:after="0" w:line="240" w:lineRule="auto"/>
        <w:ind w:left="1440" w:hanging="360"/>
        <w:rPr/>
      </w:pPr>
      <w:r w:rsidDel="00000000" w:rsidR="00000000" w:rsidRPr="00000000">
        <w:rPr>
          <w:rtl w:val="0"/>
        </w:rPr>
        <w:t xml:space="preserve">Problématique claire : définition de la pathologie, population ciblée.</w:t>
      </w:r>
    </w:p>
    <w:p w:rsidR="00000000" w:rsidDel="00000000" w:rsidP="00000000" w:rsidRDefault="00000000" w:rsidRPr="00000000" w14:paraId="0000009B">
      <w:pPr>
        <w:spacing w:after="0" w:line="240" w:lineRule="auto"/>
        <w:ind w:left="0" w:firstLine="0"/>
        <w:rPr/>
      </w:pPr>
      <w:r w:rsidDel="00000000" w:rsidR="00000000" w:rsidRPr="00000000">
        <w:rPr>
          <w:rtl w:val="0"/>
        </w:rPr>
      </w:r>
    </w:p>
    <w:p w:rsidR="00000000" w:rsidDel="00000000" w:rsidP="00000000" w:rsidRDefault="00000000" w:rsidRPr="00000000" w14:paraId="0000009C">
      <w:pPr>
        <w:numPr>
          <w:ilvl w:val="0"/>
          <w:numId w:val="20"/>
        </w:numPr>
        <w:spacing w:after="0" w:line="240" w:lineRule="auto"/>
        <w:ind w:left="720" w:hanging="360"/>
        <w:rPr/>
      </w:pPr>
      <w:r w:rsidDel="00000000" w:rsidR="00000000" w:rsidRPr="00000000">
        <w:rPr>
          <w:b w:val="1"/>
          <w:rtl w:val="0"/>
        </w:rPr>
        <w:t xml:space="preserve">Caractère innovant du projet </w:t>
      </w:r>
      <w:r w:rsidDel="00000000" w:rsidR="00000000" w:rsidRPr="00000000">
        <w:rPr>
          <w:rtl w:val="0"/>
        </w:rPr>
      </w:r>
    </w:p>
    <w:p w:rsidR="00000000" w:rsidDel="00000000" w:rsidP="00000000" w:rsidRDefault="00000000" w:rsidRPr="00000000" w14:paraId="0000009D">
      <w:pPr>
        <w:numPr>
          <w:ilvl w:val="1"/>
          <w:numId w:val="20"/>
        </w:numPr>
        <w:spacing w:after="0" w:lineRule="auto"/>
        <w:ind w:left="1440" w:hanging="360"/>
        <w:rPr/>
      </w:pPr>
      <w:r w:rsidDel="00000000" w:rsidR="00000000" w:rsidRPr="00000000">
        <w:rPr>
          <w:rtl w:val="0"/>
        </w:rPr>
        <w:t xml:space="preserve">Positionnement et valeur ajoutée par rapport à l’état de l’art.</w:t>
      </w:r>
    </w:p>
    <w:p w:rsidR="00000000" w:rsidDel="00000000" w:rsidP="00000000" w:rsidRDefault="00000000" w:rsidRPr="00000000" w14:paraId="0000009E">
      <w:pPr>
        <w:numPr>
          <w:ilvl w:val="1"/>
          <w:numId w:val="20"/>
        </w:numPr>
        <w:spacing w:after="0" w:lineRule="auto"/>
        <w:ind w:left="1440" w:hanging="360"/>
        <w:rPr/>
      </w:pPr>
      <w:r w:rsidDel="00000000" w:rsidR="00000000" w:rsidRPr="00000000">
        <w:rPr>
          <w:rtl w:val="0"/>
        </w:rPr>
        <w:t xml:space="preserve">Int</w:t>
      </w:r>
      <w:r w:rsidDel="00000000" w:rsidR="00000000" w:rsidRPr="00000000">
        <w:rPr>
          <w:rtl w:val="0"/>
        </w:rPr>
        <w:t xml:space="preserve">érêt du chaînage de la base de données </w:t>
      </w:r>
      <w:r w:rsidDel="00000000" w:rsidR="00000000" w:rsidRPr="00000000">
        <w:rPr>
          <w:rtl w:val="0"/>
        </w:rPr>
        <w:t xml:space="preserve">que le candidat souhaite utiliser</w:t>
      </w:r>
      <w:r w:rsidDel="00000000" w:rsidR="00000000" w:rsidRPr="00000000">
        <w:rPr>
          <w:rtl w:val="0"/>
        </w:rPr>
        <w:t xml:space="preserve"> à la base principale du SNDS et - le cas échéant - à un entrepôt de données dans le cadre de ce projet.</w:t>
      </w:r>
      <w:r w:rsidDel="00000000" w:rsidR="00000000" w:rsidRPr="00000000">
        <w:rPr>
          <w:rtl w:val="0"/>
        </w:rPr>
      </w:r>
    </w:p>
    <w:p w:rsidR="00000000" w:rsidDel="00000000" w:rsidP="00000000" w:rsidRDefault="00000000" w:rsidRPr="00000000" w14:paraId="0000009F">
      <w:pPr>
        <w:spacing w:after="0" w:line="240" w:lineRule="auto"/>
        <w:ind w:left="1440" w:firstLine="0"/>
        <w:rPr/>
      </w:pPr>
      <w:r w:rsidDel="00000000" w:rsidR="00000000" w:rsidRPr="00000000">
        <w:rPr>
          <w:rtl w:val="0"/>
        </w:rPr>
      </w:r>
    </w:p>
    <w:p w:rsidR="00000000" w:rsidDel="00000000" w:rsidP="00000000" w:rsidRDefault="00000000" w:rsidRPr="00000000" w14:paraId="000000A0">
      <w:pPr>
        <w:numPr>
          <w:ilvl w:val="0"/>
          <w:numId w:val="13"/>
        </w:numPr>
        <w:spacing w:after="0" w:line="240" w:lineRule="auto"/>
        <w:ind w:left="720" w:hanging="360"/>
        <w:rPr/>
      </w:pPr>
      <w:bookmarkStart w:colFirst="0" w:colLast="0" w:name="_heading=h.z337ya" w:id="14"/>
      <w:bookmarkEnd w:id="14"/>
      <w:r w:rsidDel="00000000" w:rsidR="00000000" w:rsidRPr="00000000">
        <w:rPr>
          <w:b w:val="1"/>
          <w:rtl w:val="0"/>
        </w:rPr>
        <w:t xml:space="preserve">Faisabilité et réalisme technique du projet</w:t>
      </w:r>
      <w:r w:rsidDel="00000000" w:rsidR="00000000" w:rsidRPr="00000000">
        <w:rPr>
          <w:rtl w:val="0"/>
        </w:rPr>
      </w:r>
    </w:p>
    <w:p w:rsidR="00000000" w:rsidDel="00000000" w:rsidP="00000000" w:rsidRDefault="00000000" w:rsidRPr="00000000" w14:paraId="000000A1">
      <w:pPr>
        <w:numPr>
          <w:ilvl w:val="1"/>
          <w:numId w:val="13"/>
        </w:numPr>
        <w:spacing w:after="0" w:line="240" w:lineRule="auto"/>
        <w:ind w:left="1440" w:hanging="360"/>
        <w:rPr/>
      </w:pPr>
      <w:bookmarkStart w:colFirst="0" w:colLast="0" w:name="_heading=h.3j2qqm3" w:id="15"/>
      <w:bookmarkEnd w:id="15"/>
      <w:r w:rsidDel="00000000" w:rsidR="00000000" w:rsidRPr="00000000">
        <w:rPr>
          <w:rtl w:val="0"/>
        </w:rPr>
        <w:t xml:space="preserve">Vision cible claire et jalonnée</w:t>
      </w:r>
    </w:p>
    <w:p w:rsidR="00000000" w:rsidDel="00000000" w:rsidP="00000000" w:rsidRDefault="00000000" w:rsidRPr="00000000" w14:paraId="000000A2">
      <w:pPr>
        <w:numPr>
          <w:ilvl w:val="1"/>
          <w:numId w:val="13"/>
        </w:numPr>
        <w:spacing w:after="0" w:line="240" w:lineRule="auto"/>
        <w:ind w:left="1440" w:hanging="360"/>
        <w:rPr/>
      </w:pPr>
      <w:bookmarkStart w:colFirst="0" w:colLast="0" w:name="_heading=h.1y810tw" w:id="16"/>
      <w:bookmarkEnd w:id="16"/>
      <w:r w:rsidDel="00000000" w:rsidR="00000000" w:rsidRPr="00000000">
        <w:rPr>
          <w:rtl w:val="0"/>
        </w:rPr>
        <w:t xml:space="preserve">Description détaillée de l’approche algorithmique et méthodologique</w:t>
      </w:r>
    </w:p>
    <w:p w:rsidR="00000000" w:rsidDel="00000000" w:rsidP="00000000" w:rsidRDefault="00000000" w:rsidRPr="00000000" w14:paraId="000000A3">
      <w:pPr>
        <w:numPr>
          <w:ilvl w:val="1"/>
          <w:numId w:val="13"/>
        </w:numPr>
        <w:spacing w:after="0" w:line="240" w:lineRule="auto"/>
        <w:ind w:left="1440" w:hanging="360"/>
        <w:rPr/>
      </w:pPr>
      <w:bookmarkStart w:colFirst="0" w:colLast="0" w:name="_heading=h.4i7ojhp" w:id="17"/>
      <w:bookmarkEnd w:id="17"/>
      <w:r w:rsidDel="00000000" w:rsidR="00000000" w:rsidRPr="00000000">
        <w:rPr>
          <w:rtl w:val="0"/>
        </w:rPr>
        <w:t xml:space="preserve">Pertinence des données mobilisées hors </w:t>
      </w:r>
      <w:r w:rsidDel="00000000" w:rsidR="00000000" w:rsidRPr="00000000">
        <w:rPr>
          <w:rtl w:val="0"/>
        </w:rPr>
        <w:t xml:space="preserve">base de l’AMI Catalogue du SNDS que le candidat souhaite utiliser</w:t>
      </w:r>
      <w:r w:rsidDel="00000000" w:rsidR="00000000" w:rsidRPr="00000000">
        <w:rPr>
          <w:rtl w:val="0"/>
        </w:rPr>
        <w:t xml:space="preserve"> et base principale le cas échéant</w:t>
      </w:r>
      <w:r w:rsidDel="00000000" w:rsidR="00000000" w:rsidRPr="00000000">
        <w:rPr>
          <w:rtl w:val="0"/>
        </w:rPr>
      </w:r>
    </w:p>
    <w:p w:rsidR="00000000" w:rsidDel="00000000" w:rsidP="00000000" w:rsidRDefault="00000000" w:rsidRPr="00000000" w14:paraId="000000A4">
      <w:pPr>
        <w:numPr>
          <w:ilvl w:val="1"/>
          <w:numId w:val="13"/>
        </w:numPr>
        <w:spacing w:after="0" w:line="240" w:lineRule="auto"/>
        <w:ind w:left="1440" w:hanging="360"/>
        <w:rPr/>
      </w:pPr>
      <w:bookmarkStart w:colFirst="0" w:colLast="0" w:name="_heading=h.2xcytpi" w:id="18"/>
      <w:bookmarkEnd w:id="18"/>
      <w:r w:rsidDel="00000000" w:rsidR="00000000" w:rsidRPr="00000000">
        <w:rPr>
          <w:rtl w:val="0"/>
        </w:rPr>
        <w:t xml:space="preserve">Réalisme du budget et adéquation avec les jalons</w:t>
      </w:r>
    </w:p>
    <w:p w:rsidR="00000000" w:rsidDel="00000000" w:rsidP="00000000" w:rsidRDefault="00000000" w:rsidRPr="00000000" w14:paraId="000000A5">
      <w:pPr>
        <w:numPr>
          <w:ilvl w:val="1"/>
          <w:numId w:val="13"/>
        </w:numPr>
        <w:spacing w:after="0" w:line="240" w:lineRule="auto"/>
        <w:ind w:left="1440" w:hanging="360"/>
        <w:rPr/>
      </w:pPr>
      <w:bookmarkStart w:colFirst="0" w:colLast="0" w:name="_heading=h.1ci93xb" w:id="19"/>
      <w:bookmarkEnd w:id="19"/>
      <w:r w:rsidDel="00000000" w:rsidR="00000000" w:rsidRPr="00000000">
        <w:rPr>
          <w:rtl w:val="0"/>
        </w:rPr>
        <w:t xml:space="preserve">Principaux postes de dépen</w:t>
      </w:r>
      <w:r w:rsidDel="00000000" w:rsidR="00000000" w:rsidRPr="00000000">
        <w:rPr>
          <w:rtl w:val="0"/>
        </w:rPr>
        <w:t xml:space="preserve">ses clairement détaillés</w:t>
      </w:r>
    </w:p>
    <w:p w:rsidR="00000000" w:rsidDel="00000000" w:rsidP="00000000" w:rsidRDefault="00000000" w:rsidRPr="00000000" w14:paraId="000000A6">
      <w:pPr>
        <w:numPr>
          <w:ilvl w:val="1"/>
          <w:numId w:val="13"/>
        </w:numPr>
        <w:spacing w:after="0" w:line="240" w:lineRule="auto"/>
        <w:ind w:left="1440" w:hanging="360"/>
        <w:rPr/>
      </w:pPr>
      <w:bookmarkStart w:colFirst="0" w:colLast="0" w:name="_heading=h.3whwml4" w:id="20"/>
      <w:bookmarkEnd w:id="20"/>
      <w:r w:rsidDel="00000000" w:rsidR="00000000" w:rsidRPr="00000000">
        <w:rPr>
          <w:rtl w:val="0"/>
        </w:rPr>
        <w:t xml:space="preserve">Maîtrise des risques associés au projet et mitigations associées</w:t>
      </w:r>
    </w:p>
    <w:p w:rsidR="00000000" w:rsidDel="00000000" w:rsidP="00000000" w:rsidRDefault="00000000" w:rsidRPr="00000000" w14:paraId="000000A7">
      <w:pPr>
        <w:spacing w:after="0" w:line="240" w:lineRule="auto"/>
        <w:ind w:left="1440" w:hanging="720"/>
        <w:rPr/>
      </w:pPr>
      <w:r w:rsidDel="00000000" w:rsidR="00000000" w:rsidRPr="00000000">
        <w:rPr>
          <w:rtl w:val="0"/>
        </w:rPr>
      </w:r>
    </w:p>
    <w:p w:rsidR="00000000" w:rsidDel="00000000" w:rsidP="00000000" w:rsidRDefault="00000000" w:rsidRPr="00000000" w14:paraId="000000A8">
      <w:pPr>
        <w:numPr>
          <w:ilvl w:val="0"/>
          <w:numId w:val="21"/>
        </w:numPr>
        <w:spacing w:after="0" w:line="240" w:lineRule="auto"/>
        <w:ind w:left="720" w:hanging="360"/>
        <w:rPr/>
      </w:pPr>
      <w:r w:rsidDel="00000000" w:rsidR="00000000" w:rsidRPr="00000000">
        <w:rPr>
          <w:b w:val="1"/>
          <w:rtl w:val="0"/>
        </w:rPr>
        <w:t xml:space="preserve">Capacité du(des) porteur(s) du projet à porter le projet et maturité du projet</w:t>
      </w:r>
      <w:r w:rsidDel="00000000" w:rsidR="00000000" w:rsidRPr="00000000">
        <w:rPr>
          <w:rtl w:val="0"/>
        </w:rPr>
      </w:r>
    </w:p>
    <w:p w:rsidR="00000000" w:rsidDel="00000000" w:rsidP="00000000" w:rsidRDefault="00000000" w:rsidRPr="00000000" w14:paraId="000000A9">
      <w:pPr>
        <w:numPr>
          <w:ilvl w:val="1"/>
          <w:numId w:val="21"/>
        </w:numPr>
        <w:spacing w:after="0" w:line="240" w:lineRule="auto"/>
        <w:ind w:left="1440" w:hanging="360"/>
        <w:rPr/>
      </w:pPr>
      <w:r w:rsidDel="00000000" w:rsidR="00000000" w:rsidRPr="00000000">
        <w:rPr>
          <w:rtl w:val="0"/>
        </w:rPr>
        <w:t xml:space="preserve">Expérience et implication de l’équipe projet</w:t>
      </w:r>
    </w:p>
    <w:p w:rsidR="00000000" w:rsidDel="00000000" w:rsidP="00000000" w:rsidRDefault="00000000" w:rsidRPr="00000000" w14:paraId="000000AA">
      <w:pPr>
        <w:numPr>
          <w:ilvl w:val="1"/>
          <w:numId w:val="21"/>
        </w:numPr>
        <w:spacing w:after="0" w:line="240" w:lineRule="auto"/>
        <w:ind w:left="1440" w:hanging="360"/>
        <w:rPr/>
      </w:pPr>
      <w:r w:rsidDel="00000000" w:rsidR="00000000" w:rsidRPr="00000000">
        <w:rPr>
          <w:rtl w:val="0"/>
        </w:rPr>
        <w:t xml:space="preserve">Adéquation de l’équipe avec l’ambition du projet</w:t>
      </w:r>
    </w:p>
    <w:p w:rsidR="00000000" w:rsidDel="00000000" w:rsidP="00000000" w:rsidRDefault="00000000" w:rsidRPr="00000000" w14:paraId="000000AB">
      <w:pPr>
        <w:numPr>
          <w:ilvl w:val="1"/>
          <w:numId w:val="21"/>
        </w:numPr>
        <w:spacing w:after="0" w:line="240" w:lineRule="auto"/>
        <w:ind w:left="1440" w:hanging="360"/>
        <w:rPr/>
      </w:pPr>
      <w:r w:rsidDel="00000000" w:rsidR="00000000" w:rsidRPr="00000000">
        <w:rPr>
          <w:rtl w:val="0"/>
        </w:rPr>
        <w:t xml:space="preserve">La présence de premiers résultats déjà disponibles attestant de la crédibilité du projet est un plus</w:t>
      </w:r>
    </w:p>
    <w:p w:rsidR="00000000" w:rsidDel="00000000" w:rsidP="00000000" w:rsidRDefault="00000000" w:rsidRPr="00000000" w14:paraId="000000AC">
      <w:pPr>
        <w:numPr>
          <w:ilvl w:val="1"/>
          <w:numId w:val="21"/>
        </w:numPr>
        <w:spacing w:after="0" w:line="240" w:lineRule="auto"/>
        <w:ind w:left="1440" w:hanging="360"/>
        <w:rPr/>
      </w:pPr>
      <w:r w:rsidDel="00000000" w:rsidR="00000000" w:rsidRPr="00000000">
        <w:rPr>
          <w:rtl w:val="0"/>
        </w:rPr>
        <w:t xml:space="preserve">Compréhension et avancement dans les démarches réglementaires</w:t>
      </w:r>
    </w:p>
    <w:p w:rsidR="00000000" w:rsidDel="00000000" w:rsidP="00000000" w:rsidRDefault="00000000" w:rsidRPr="00000000" w14:paraId="000000AD">
      <w:pPr>
        <w:spacing w:after="0" w:line="240" w:lineRule="auto"/>
        <w:ind w:left="1440" w:hanging="720"/>
        <w:rPr/>
      </w:pPr>
      <w:r w:rsidDel="00000000" w:rsidR="00000000" w:rsidRPr="00000000">
        <w:rPr>
          <w:rtl w:val="0"/>
        </w:rPr>
      </w:r>
    </w:p>
    <w:p w:rsidR="00000000" w:rsidDel="00000000" w:rsidP="00000000" w:rsidRDefault="00000000" w:rsidRPr="00000000" w14:paraId="000000AE">
      <w:pPr>
        <w:numPr>
          <w:ilvl w:val="0"/>
          <w:numId w:val="14"/>
        </w:numPr>
        <w:spacing w:after="0" w:line="240" w:lineRule="auto"/>
        <w:ind w:left="720" w:hanging="360"/>
        <w:rPr/>
      </w:pPr>
      <w:r w:rsidDel="00000000" w:rsidR="00000000" w:rsidRPr="00000000">
        <w:rPr>
          <w:b w:val="1"/>
          <w:rtl w:val="0"/>
        </w:rPr>
        <w:t xml:space="preserve">Openscience</w:t>
      </w:r>
      <w:r w:rsidDel="00000000" w:rsidR="00000000" w:rsidRPr="00000000">
        <w:rPr>
          <w:rtl w:val="0"/>
        </w:rPr>
      </w:r>
    </w:p>
    <w:p w:rsidR="00000000" w:rsidDel="00000000" w:rsidP="00000000" w:rsidRDefault="00000000" w:rsidRPr="00000000" w14:paraId="000000AF">
      <w:pPr>
        <w:numPr>
          <w:ilvl w:val="1"/>
          <w:numId w:val="14"/>
        </w:numPr>
        <w:spacing w:after="0" w:line="240" w:lineRule="auto"/>
        <w:ind w:left="1440" w:hanging="360"/>
        <w:rPr/>
      </w:pPr>
      <w:r w:rsidDel="00000000" w:rsidR="00000000" w:rsidRPr="00000000">
        <w:rPr>
          <w:rtl w:val="0"/>
        </w:rPr>
        <w:t xml:space="preserve">Caractère réutilisable des éléments proposés en partage en </w:t>
      </w:r>
      <w:r w:rsidDel="00000000" w:rsidR="00000000" w:rsidRPr="00000000">
        <w:rPr>
          <w:rtl w:val="0"/>
        </w:rPr>
        <w:t xml:space="preserve">open source</w:t>
      </w:r>
      <w:r w:rsidDel="00000000" w:rsidR="00000000" w:rsidRPr="00000000">
        <w:rPr>
          <w:rtl w:val="0"/>
        </w:rPr>
        <w:t xml:space="preserve"> avec licence permissive </w:t>
      </w:r>
    </w:p>
    <w:p w:rsidR="00000000" w:rsidDel="00000000" w:rsidP="00000000" w:rsidRDefault="00000000" w:rsidRPr="00000000" w14:paraId="000000B0">
      <w:pPr>
        <w:spacing w:after="0" w:line="240" w:lineRule="auto"/>
        <w:ind w:left="1440" w:firstLine="0"/>
        <w:rPr/>
      </w:pPr>
      <w:r w:rsidDel="00000000" w:rsidR="00000000" w:rsidRPr="00000000">
        <w:rPr>
          <w:rtl w:val="0"/>
        </w:rPr>
      </w:r>
    </w:p>
    <w:p w:rsidR="00000000" w:rsidDel="00000000" w:rsidP="00000000" w:rsidRDefault="00000000" w:rsidRPr="00000000" w14:paraId="000000B1">
      <w:pPr>
        <w:numPr>
          <w:ilvl w:val="0"/>
          <w:numId w:val="22"/>
        </w:numPr>
        <w:spacing w:after="0" w:line="240" w:lineRule="auto"/>
        <w:ind w:left="720" w:hanging="360"/>
        <w:rPr/>
      </w:pPr>
      <w:r w:rsidDel="00000000" w:rsidR="00000000" w:rsidRPr="00000000">
        <w:rPr>
          <w:b w:val="1"/>
          <w:rtl w:val="0"/>
        </w:rPr>
        <w:t xml:space="preserve">Dimensionnement et pertinence de l’accompagnement demandé</w:t>
      </w:r>
      <w:r w:rsidDel="00000000" w:rsidR="00000000" w:rsidRPr="00000000">
        <w:rPr>
          <w:rtl w:val="0"/>
        </w:rPr>
      </w:r>
    </w:p>
    <w:p w:rsidR="00000000" w:rsidDel="00000000" w:rsidP="00000000" w:rsidRDefault="00000000" w:rsidRPr="00000000" w14:paraId="000000B2">
      <w:pPr>
        <w:numPr>
          <w:ilvl w:val="1"/>
          <w:numId w:val="22"/>
        </w:numPr>
        <w:spacing w:after="0" w:line="240" w:lineRule="auto"/>
        <w:ind w:left="1440" w:hanging="360"/>
        <w:rPr/>
      </w:pPr>
      <w:r w:rsidDel="00000000" w:rsidR="00000000" w:rsidRPr="00000000">
        <w:rPr>
          <w:rtl w:val="0"/>
        </w:rPr>
        <w:t xml:space="preserve">Pertinence de la demande d’accompagnement et de financement auprès du Health Data Hub</w:t>
      </w: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1"/>
        <w:rPr/>
      </w:pPr>
      <w:bookmarkStart w:colFirst="0" w:colLast="0" w:name="_heading=h.2bn6wsx" w:id="21"/>
      <w:bookmarkEnd w:id="21"/>
      <w:r w:rsidDel="00000000" w:rsidR="00000000" w:rsidRPr="00000000">
        <w:rPr>
          <w:rtl w:val="0"/>
        </w:rPr>
        <w:t xml:space="preserve">4. PROCESSUS DE SÉLECTION</w:t>
      </w:r>
      <w:r w:rsidDel="00000000" w:rsidR="00000000" w:rsidRPr="00000000">
        <w:rPr>
          <w:rtl w:val="0"/>
        </w:rPr>
      </w:r>
    </w:p>
    <w:p w:rsidR="00000000" w:rsidDel="00000000" w:rsidP="00000000" w:rsidRDefault="00000000" w:rsidRPr="00000000" w14:paraId="000000B4">
      <w:pPr>
        <w:spacing w:after="200" w:before="0" w:line="240" w:lineRule="auto"/>
        <w:jc w:val="both"/>
        <w:rPr/>
      </w:pPr>
      <w:r w:rsidDel="00000000" w:rsidR="00000000" w:rsidRPr="00000000">
        <w:rPr>
          <w:rtl w:val="0"/>
        </w:rPr>
        <w:t xml:space="preserve">Cet </w:t>
      </w:r>
      <w:r w:rsidDel="00000000" w:rsidR="00000000" w:rsidRPr="00000000">
        <w:rPr>
          <w:rtl w:val="0"/>
        </w:rPr>
        <w:t xml:space="preserve">appel à manifestation d'intérêt</w:t>
      </w:r>
      <w:r w:rsidDel="00000000" w:rsidR="00000000" w:rsidRPr="00000000">
        <w:rPr>
          <w:rtl w:val="0"/>
        </w:rPr>
        <w:t xml:space="preserve"> est opéré par le Health Data Hub. A la suite de la clôture de l’</w:t>
      </w:r>
      <w:r w:rsidDel="00000000" w:rsidR="00000000" w:rsidRPr="00000000">
        <w:rPr>
          <w:rtl w:val="0"/>
        </w:rPr>
        <w:t xml:space="preserve">appel à manifestation d'intérêt</w:t>
      </w:r>
      <w:r w:rsidDel="00000000" w:rsidR="00000000" w:rsidRPr="00000000">
        <w:rPr>
          <w:rtl w:val="0"/>
        </w:rPr>
        <w:t xml:space="preserve"> l</w:t>
      </w:r>
      <w:r w:rsidDel="00000000" w:rsidR="00000000" w:rsidRPr="00000000">
        <w:rPr>
          <w:rtl w:val="0"/>
        </w:rPr>
        <w:t xml:space="preserve">e 11 </w:t>
      </w:r>
      <w:r w:rsidDel="00000000" w:rsidR="00000000" w:rsidRPr="00000000">
        <w:rPr>
          <w:rtl w:val="0"/>
        </w:rPr>
        <w:t xml:space="preserve">mai 2025</w:t>
      </w:r>
      <w:r w:rsidDel="00000000" w:rsidR="00000000" w:rsidRPr="00000000">
        <w:rPr>
          <w:rtl w:val="0"/>
        </w:rPr>
        <w:t xml:space="preserve">, un pré</w:t>
      </w:r>
      <w:r w:rsidDel="00000000" w:rsidR="00000000" w:rsidRPr="00000000">
        <w:rPr>
          <w:rtl w:val="0"/>
        </w:rPr>
        <w:t xml:space="preserve">-filtre des projets est opéré sur la base des critères d’éligibilité définis précédemment.</w:t>
      </w:r>
    </w:p>
    <w:p w:rsidR="00000000" w:rsidDel="00000000" w:rsidP="00000000" w:rsidRDefault="00000000" w:rsidRPr="00000000" w14:paraId="000000B5">
      <w:pPr>
        <w:spacing w:after="200" w:before="0" w:line="240" w:lineRule="auto"/>
        <w:jc w:val="both"/>
        <w:rPr/>
      </w:pPr>
      <w:r w:rsidDel="00000000" w:rsidR="00000000" w:rsidRPr="00000000">
        <w:rPr>
          <w:rtl w:val="0"/>
        </w:rPr>
        <w:t xml:space="preserve">Dans le cas où le nombre de projets éligibles serait supérieur à 10, un comité de présélection sera constitué et </w:t>
      </w:r>
      <w:r w:rsidDel="00000000" w:rsidR="00000000" w:rsidRPr="00000000">
        <w:rPr>
          <w:rtl w:val="0"/>
        </w:rPr>
        <w:t xml:space="preserve">assurera</w:t>
      </w:r>
      <w:r w:rsidDel="00000000" w:rsidR="00000000" w:rsidRPr="00000000">
        <w:rPr>
          <w:rtl w:val="0"/>
        </w:rPr>
        <w:t xml:space="preserve"> une présélection sur la base des critères de sélection définis précédemment en vue du passage possible en audition des projets les plus prometteurs.</w:t>
      </w:r>
    </w:p>
    <w:p w:rsidR="00000000" w:rsidDel="00000000" w:rsidP="00000000" w:rsidRDefault="00000000" w:rsidRPr="00000000" w14:paraId="000000B6">
      <w:pPr>
        <w:spacing w:after="200" w:before="0" w:line="240" w:lineRule="auto"/>
        <w:jc w:val="both"/>
        <w:rPr/>
      </w:pPr>
      <w:r w:rsidDel="00000000" w:rsidR="00000000" w:rsidRPr="00000000">
        <w:rPr>
          <w:rtl w:val="0"/>
        </w:rPr>
        <w:t xml:space="preserve">Les porteurs des projets ainsi présélectionnés pourront être auditionnés par un jury. Le cas échéant, l’audition se tiendra au mois de</w:t>
      </w:r>
      <w:r w:rsidDel="00000000" w:rsidR="00000000" w:rsidRPr="00000000">
        <w:rPr>
          <w:rtl w:val="0"/>
        </w:rPr>
        <w:t xml:space="preserve"> juin 2025</w:t>
      </w:r>
      <w:r w:rsidDel="00000000" w:rsidR="00000000" w:rsidRPr="00000000">
        <w:rPr>
          <w:rtl w:val="0"/>
        </w:rPr>
        <w:t xml:space="preserve">, dans les locaux du Health Data Hub, 9 rue Georges Pitard 75015 Paris ou en visioconférence. Les modalités plus précises seront indiquées ultérieurement aux candidats présélectionnés.</w:t>
      </w:r>
    </w:p>
    <w:p w:rsidR="00000000" w:rsidDel="00000000" w:rsidP="00000000" w:rsidRDefault="00000000" w:rsidRPr="00000000" w14:paraId="000000B7">
      <w:pPr>
        <w:spacing w:after="200" w:before="0" w:line="240" w:lineRule="auto"/>
        <w:jc w:val="both"/>
        <w:rPr/>
      </w:pPr>
      <w:r w:rsidDel="00000000" w:rsidR="00000000" w:rsidRPr="00000000">
        <w:rPr>
          <w:rtl w:val="0"/>
        </w:rPr>
        <w:t xml:space="preserve">A l’issue des auditions, le jury établit la liste des projets susceptibles d’être retenus sous forme de classement et en explicitant les éventuelles réserves. Dans ce cas, cette liste sera soumise à la direction du Health Data Hub pour décision finale notamment au regard des demandes d’accompagnement financier.</w:t>
      </w:r>
    </w:p>
    <w:p w:rsidR="00000000" w:rsidDel="00000000" w:rsidP="00000000" w:rsidRDefault="00000000" w:rsidRPr="00000000" w14:paraId="000000B8">
      <w:pPr>
        <w:spacing w:after="200" w:before="0" w:line="240" w:lineRule="auto"/>
        <w:jc w:val="both"/>
        <w:rPr/>
      </w:pPr>
      <w:r w:rsidDel="00000000" w:rsidR="00000000" w:rsidRPr="00000000">
        <w:rPr>
          <w:rtl w:val="0"/>
        </w:rPr>
      </w:r>
    </w:p>
    <w:p w:rsidR="00000000" w:rsidDel="00000000" w:rsidP="00000000" w:rsidRDefault="00000000" w:rsidRPr="00000000" w14:paraId="000000B9">
      <w:pPr>
        <w:pStyle w:val="Heading1"/>
        <w:rPr/>
      </w:pPr>
      <w:bookmarkStart w:colFirst="0" w:colLast="0" w:name="_heading=h.qsh70q" w:id="22"/>
      <w:bookmarkEnd w:id="22"/>
      <w:r w:rsidDel="00000000" w:rsidR="00000000" w:rsidRPr="00000000">
        <w:rPr>
          <w:rtl w:val="0"/>
        </w:rPr>
        <w:t xml:space="preserve">5. ACCOMPAGNEMENT</w:t>
      </w:r>
    </w:p>
    <w:p w:rsidR="00000000" w:rsidDel="00000000" w:rsidP="00000000" w:rsidRDefault="00000000" w:rsidRPr="00000000" w14:paraId="000000BA">
      <w:pPr>
        <w:pStyle w:val="Heading2"/>
        <w:rPr/>
      </w:pPr>
      <w:bookmarkStart w:colFirst="0" w:colLast="0" w:name="_heading=h.3as4poj" w:id="23"/>
      <w:bookmarkEnd w:id="23"/>
      <w:r w:rsidDel="00000000" w:rsidR="00000000" w:rsidRPr="00000000">
        <w:rPr>
          <w:rtl w:val="0"/>
        </w:rPr>
        <w:t xml:space="preserve">5.1 Health Data Hub</w:t>
      </w:r>
    </w:p>
    <w:p w:rsidR="00000000" w:rsidDel="00000000" w:rsidP="00000000" w:rsidRDefault="00000000" w:rsidRPr="00000000" w14:paraId="000000BB">
      <w:pPr>
        <w:spacing w:after="200" w:before="0" w:line="240" w:lineRule="auto"/>
        <w:rPr/>
      </w:pPr>
      <w:r w:rsidDel="00000000" w:rsidR="00000000" w:rsidRPr="00000000">
        <w:rPr>
          <w:rtl w:val="0"/>
        </w:rPr>
        <w:t xml:space="preserve">Le Hub Data Health accompagnera les projets sélectionnés à toutes les étapes de leur réalisation en apportant des moyens techniques et humains pour une durée maximale de 24 mois.</w:t>
      </w:r>
    </w:p>
    <w:p w:rsidR="00000000" w:rsidDel="00000000" w:rsidP="00000000" w:rsidRDefault="00000000" w:rsidRPr="00000000" w14:paraId="000000BC">
      <w:pPr>
        <w:numPr>
          <w:ilvl w:val="0"/>
          <w:numId w:val="7"/>
        </w:numPr>
        <w:spacing w:after="200" w:before="0" w:line="240" w:lineRule="auto"/>
        <w:ind w:left="720" w:hanging="360"/>
        <w:rPr>
          <w:u w:val="none"/>
        </w:rPr>
      </w:pPr>
      <w:r w:rsidDel="00000000" w:rsidR="00000000" w:rsidRPr="00000000">
        <w:rPr>
          <w:rtl w:val="0"/>
        </w:rPr>
        <w:t xml:space="preserve">Cadrer le projet : aide au cadrage du projet notamment dans l’identification et la mise en oeuvre des démarches réglementaires ; mise en relation avec les acteurs compétents ; accompagnement dans la collaboration avec les acteurs dépositaires des données de santé, notamment dans la contractualisation et la réalisation des prérequis techniques pour utiliser les données ;</w:t>
      </w:r>
    </w:p>
    <w:p w:rsidR="00000000" w:rsidDel="00000000" w:rsidP="00000000" w:rsidRDefault="00000000" w:rsidRPr="00000000" w14:paraId="000000BD">
      <w:pPr>
        <w:numPr>
          <w:ilvl w:val="0"/>
          <w:numId w:val="7"/>
        </w:numPr>
        <w:spacing w:after="200" w:before="0" w:line="240" w:lineRule="auto"/>
        <w:ind w:left="720" w:hanging="360"/>
        <w:rPr>
          <w:u w:val="none"/>
        </w:rPr>
      </w:pPr>
      <w:r w:rsidDel="00000000" w:rsidR="00000000" w:rsidRPr="00000000">
        <w:rPr>
          <w:rtl w:val="0"/>
        </w:rPr>
        <w:t xml:space="preserve">Accompagnement auprès des acteurs institutionnels, notamment lorsque plusieurs sources de données sont mobilisées et doivent être réunies ou croisées ;</w:t>
      </w:r>
    </w:p>
    <w:p w:rsidR="00000000" w:rsidDel="00000000" w:rsidP="00000000" w:rsidRDefault="00000000" w:rsidRPr="00000000" w14:paraId="000000BE">
      <w:pPr>
        <w:numPr>
          <w:ilvl w:val="0"/>
          <w:numId w:val="7"/>
        </w:numPr>
        <w:spacing w:after="200" w:before="0" w:line="240" w:lineRule="auto"/>
        <w:ind w:left="720" w:hanging="360"/>
        <w:rPr>
          <w:u w:val="none"/>
        </w:rPr>
      </w:pPr>
      <w:r w:rsidDel="00000000" w:rsidR="00000000" w:rsidRPr="00000000">
        <w:rPr>
          <w:rtl w:val="0"/>
        </w:rPr>
        <w:t xml:space="preserve">Appui à la réalisation de l’étude : mise à disposition de capacités technologiques, appuis d’experts (médicaux, juridique, data scientist, </w:t>
      </w:r>
      <w:r w:rsidDel="00000000" w:rsidR="00000000" w:rsidRPr="00000000">
        <w:rPr>
          <w:rtl w:val="0"/>
        </w:rPr>
        <w:t xml:space="preserve">ingénieur…), fo</w:t>
      </w:r>
      <w:r w:rsidDel="00000000" w:rsidR="00000000" w:rsidRPr="00000000">
        <w:rPr>
          <w:rtl w:val="0"/>
        </w:rPr>
        <w:t xml:space="preserve">rmations et mises en relations ; </w:t>
      </w:r>
    </w:p>
    <w:p w:rsidR="00000000" w:rsidDel="00000000" w:rsidP="00000000" w:rsidRDefault="00000000" w:rsidRPr="00000000" w14:paraId="000000BF">
      <w:pPr>
        <w:numPr>
          <w:ilvl w:val="0"/>
          <w:numId w:val="7"/>
        </w:numPr>
        <w:spacing w:after="200" w:before="0" w:line="240" w:lineRule="auto"/>
        <w:ind w:left="720" w:hanging="360"/>
        <w:rPr>
          <w:u w:val="none"/>
        </w:rPr>
      </w:pPr>
      <w:r w:rsidDel="00000000" w:rsidR="00000000" w:rsidRPr="00000000">
        <w:rPr>
          <w:rtl w:val="0"/>
        </w:rPr>
        <w:t xml:space="preserve">Mettre en valeur les résultats et les acteurs mobilisés dans la réalisation du projet : événements de communication, mise en relation des acteurs de l’écosystème.</w:t>
      </w:r>
    </w:p>
    <w:p w:rsidR="00000000" w:rsidDel="00000000" w:rsidP="00000000" w:rsidRDefault="00000000" w:rsidRPr="00000000" w14:paraId="000000C0">
      <w:pPr>
        <w:spacing w:after="120" w:before="0" w:line="240" w:lineRule="auto"/>
        <w:ind w:left="0" w:firstLine="0"/>
        <w:rPr/>
      </w:pPr>
      <w:r w:rsidDel="00000000" w:rsidR="00000000" w:rsidRPr="00000000">
        <w:rPr>
          <w:rtl w:val="0"/>
        </w:rPr>
      </w:r>
    </w:p>
    <w:p w:rsidR="00000000" w:rsidDel="00000000" w:rsidP="00000000" w:rsidRDefault="00000000" w:rsidRPr="00000000" w14:paraId="000000C1">
      <w:pPr>
        <w:pStyle w:val="Heading1"/>
        <w:rPr/>
      </w:pPr>
      <w:bookmarkStart w:colFirst="0" w:colLast="0" w:name="_heading=h.1pxezwc" w:id="24"/>
      <w:bookmarkEnd w:id="24"/>
      <w:r w:rsidDel="00000000" w:rsidR="00000000" w:rsidRPr="00000000">
        <w:rPr>
          <w:rtl w:val="0"/>
        </w:rPr>
        <w:t xml:space="preserve">6. FINANCEMENT </w:t>
      </w:r>
    </w:p>
    <w:p w:rsidR="00000000" w:rsidDel="00000000" w:rsidP="00000000" w:rsidRDefault="00000000" w:rsidRPr="00000000" w14:paraId="000000C2">
      <w:pPr>
        <w:pStyle w:val="Heading2"/>
        <w:rPr/>
      </w:pPr>
      <w:bookmarkStart w:colFirst="0" w:colLast="0" w:name="_heading=h.49x2ik5" w:id="25"/>
      <w:bookmarkEnd w:id="25"/>
      <w:r w:rsidDel="00000000" w:rsidR="00000000" w:rsidRPr="00000000">
        <w:rPr>
          <w:rtl w:val="0"/>
        </w:rPr>
        <w:t xml:space="preserve">6.1 Health Data Hub</w:t>
      </w:r>
    </w:p>
    <w:p w:rsidR="00000000" w:rsidDel="00000000" w:rsidP="00000000" w:rsidRDefault="00000000" w:rsidRPr="00000000" w14:paraId="000000C3">
      <w:pPr>
        <w:pStyle w:val="Heading3"/>
        <w:rPr/>
      </w:pPr>
      <w:bookmarkStart w:colFirst="0" w:colLast="0" w:name="_heading=h.2p2csry" w:id="26"/>
      <w:bookmarkEnd w:id="26"/>
      <w:r w:rsidDel="00000000" w:rsidR="00000000" w:rsidRPr="00000000">
        <w:rPr>
          <w:rtl w:val="0"/>
        </w:rPr>
        <w:t xml:space="preserve">6.1.1 Coûts éligibles et retenus</w:t>
      </w:r>
    </w:p>
    <w:p w:rsidR="00000000" w:rsidDel="00000000" w:rsidP="00000000" w:rsidRDefault="00000000" w:rsidRPr="00000000" w14:paraId="000000C4">
      <w:pPr>
        <w:spacing w:after="200" w:before="0" w:line="240" w:lineRule="auto"/>
        <w:jc w:val="both"/>
        <w:rPr/>
      </w:pPr>
      <w:r w:rsidDel="00000000" w:rsidR="00000000" w:rsidRPr="00000000">
        <w:rPr>
          <w:rtl w:val="0"/>
        </w:rPr>
        <w:t xml:space="preserve">Le Health Data Hub s’appuie sur un </w:t>
      </w:r>
      <w:hyperlink r:id="rId22">
        <w:r w:rsidDel="00000000" w:rsidR="00000000" w:rsidRPr="00000000">
          <w:rPr>
            <w:color w:val="1155cc"/>
            <w:u w:val="single"/>
            <w:rtl w:val="0"/>
          </w:rPr>
          <w:t xml:space="preserve">règlement financier.</w:t>
        </w:r>
      </w:hyperlink>
      <w:r w:rsidDel="00000000" w:rsidR="00000000" w:rsidRPr="00000000">
        <w:rPr>
          <w:rtl w:val="0"/>
        </w:rPr>
        <w:t xml:space="preserve"> </w:t>
      </w:r>
    </w:p>
    <w:p w:rsidR="00000000" w:rsidDel="00000000" w:rsidP="00000000" w:rsidRDefault="00000000" w:rsidRPr="00000000" w14:paraId="000000C5">
      <w:pPr>
        <w:spacing w:after="200" w:before="0" w:line="240" w:lineRule="auto"/>
        <w:jc w:val="both"/>
        <w:rPr/>
      </w:pPr>
      <w:r w:rsidDel="00000000" w:rsidR="00000000" w:rsidRPr="00000000">
        <w:rPr>
          <w:rtl w:val="0"/>
        </w:rPr>
        <w:t xml:space="preserve">Les dépenses visées par un accompagnement financier du Health Data Hub sont les suivantes :</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6945"/>
        <w:tblGridChange w:id="0">
          <w:tblGrid>
            <w:gridCol w:w="2055"/>
            <w:gridCol w:w="6945"/>
          </w:tblGrid>
        </w:tblGridChange>
      </w:tblGrid>
      <w:tr>
        <w:trPr>
          <w:cantSplit w:val="0"/>
          <w:tblHeader w:val="0"/>
        </w:trPr>
        <w:tc>
          <w:tcPr>
            <w:tcBorders>
              <w:top w:color="cccccc" w:space="0" w:sz="6" w:val="single"/>
              <w:left w:color="cccccc" w:space="0" w:sz="6" w:val="single"/>
              <w:bottom w:color="cccccc" w:space="0" w:sz="6" w:val="single"/>
              <w:right w:color="cccccc" w:space="0" w:sz="6" w:val="single"/>
            </w:tcBorders>
            <w:shd w:fill="036287"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Rule="auto"/>
              <w:jc w:val="center"/>
              <w:rPr>
                <w:rFonts w:ascii="Tahoma" w:cs="Tahoma" w:eastAsia="Tahoma" w:hAnsi="Tahoma"/>
              </w:rPr>
            </w:pPr>
            <w:r w:rsidDel="00000000" w:rsidR="00000000" w:rsidRPr="00000000">
              <w:rPr>
                <w:rFonts w:ascii="Tahoma" w:cs="Tahoma" w:eastAsia="Tahoma" w:hAnsi="Tahoma"/>
                <w:b w:val="1"/>
                <w:color w:val="ffffff"/>
                <w:rtl w:val="0"/>
              </w:rPr>
              <w:t xml:space="preserve">Type de dépense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036287"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Rule="auto"/>
              <w:jc w:val="center"/>
              <w:rPr>
                <w:rFonts w:ascii="Tahoma" w:cs="Tahoma" w:eastAsia="Tahoma" w:hAnsi="Tahoma"/>
              </w:rPr>
            </w:pPr>
            <w:r w:rsidDel="00000000" w:rsidR="00000000" w:rsidRPr="00000000">
              <w:rPr>
                <w:rFonts w:ascii="Tahoma" w:cs="Tahoma" w:eastAsia="Tahoma" w:hAnsi="Tahoma"/>
                <w:b w:val="1"/>
                <w:color w:val="ffffff"/>
                <w:rtl w:val="0"/>
              </w:rPr>
              <w:t xml:space="preserve">Définition</w:t>
            </w:r>
            <w:r w:rsidDel="00000000" w:rsidR="00000000" w:rsidRPr="00000000">
              <w:rPr>
                <w:rtl w:val="0"/>
              </w:rPr>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Frais de personnel sur justificatifs</w:t>
            </w:r>
          </w:p>
        </w:tc>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 Salaires avec charges sociales et patronales, taxes sur les salaires, cotisation à la charge du bénéficiaire (cotisations vieillesse, familiales, solidarité), dispositif d’assurance chômage y compris système d’auto-assurance ou basé sur les conventions avec pôle emploi, CSG-CRDS, taxes sur les salaires ;</w:t>
            </w:r>
          </w:p>
          <w:p w:rsidR="00000000" w:rsidDel="00000000" w:rsidP="00000000" w:rsidRDefault="00000000" w:rsidRPr="00000000" w14:paraId="000000CA">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 Primes et indemnités (de stage par exemple) ;</w:t>
            </w:r>
          </w:p>
          <w:p w:rsidR="00000000" w:rsidDel="00000000" w:rsidP="00000000" w:rsidRDefault="00000000" w:rsidRPr="00000000" w14:paraId="000000CB">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 L’indemnité de fin de contrat (à durée déterminée) lorsqu’elle est prise en charge par le bénéficiaire (système d’auto-assurance chômage ou équivalent) pour la période courant jusqu’à la fin du partenariat dans la limite du taux employeur du régime général d’assurance chômage, des chercheurs, ingénieurs, techniciens et autres personnels affectés à la réalisation de tout ou partie du Projet, dès lors que leur quote-part d’affection sur le partenariat peut être identifiée et justifiée.</w:t>
            </w:r>
          </w:p>
          <w:p w:rsidR="00000000" w:rsidDel="00000000" w:rsidP="00000000" w:rsidRDefault="00000000" w:rsidRPr="00000000" w14:paraId="000000CC">
            <w:pPr>
              <w:widowControl w:val="0"/>
              <w:spacing w:after="0" w:lineRule="auto"/>
              <w:jc w:val="left"/>
              <w:rPr>
                <w:rFonts w:ascii="Tahoma" w:cs="Tahoma" w:eastAsia="Tahoma" w:hAnsi="Tahoma"/>
              </w:rPr>
            </w:pPr>
            <w:r w:rsidDel="00000000" w:rsidR="00000000" w:rsidRPr="00000000">
              <w:rPr>
                <w:rtl w:val="0"/>
              </w:rPr>
            </w:r>
          </w:p>
          <w:p w:rsidR="00000000" w:rsidDel="00000000" w:rsidP="00000000" w:rsidRDefault="00000000" w:rsidRPr="00000000" w14:paraId="000000CD">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Types de justificatifs attendus : Lettre de mission ou Fiche de poste / Contrat de travail ou Fiche de paie ou Extrait du journal de paie / Facture / Compte rendu d’activité si temps partiel</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Coûts directs : Prestations sur factures</w:t>
            </w:r>
          </w:p>
        </w:tc>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Coûts du recours aux prestations de service (et droits de propriété intellectuelle) ;</w:t>
            </w:r>
          </w:p>
          <w:p w:rsidR="00000000" w:rsidDel="00000000" w:rsidP="00000000" w:rsidRDefault="00000000" w:rsidRPr="00000000" w14:paraId="000000D0">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Il s’agit des coûts nécessaires à la réalisation du Partenariat et relatifs à l’achat de :</w:t>
            </w:r>
          </w:p>
          <w:p w:rsidR="00000000" w:rsidDel="00000000" w:rsidP="00000000" w:rsidRDefault="00000000" w:rsidRPr="00000000" w14:paraId="000000D1">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 Licences, cessions de brevet, marque, logiciel, base de données, droit d’auteur etc. et pendant sa durée ;</w:t>
            </w:r>
          </w:p>
          <w:p w:rsidR="00000000" w:rsidDel="00000000" w:rsidP="00000000" w:rsidRDefault="00000000" w:rsidRPr="00000000" w14:paraId="000000D2">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 Coûts des prestations de services ; </w:t>
            </w:r>
          </w:p>
          <w:p w:rsidR="00000000" w:rsidDel="00000000" w:rsidP="00000000" w:rsidRDefault="00000000" w:rsidRPr="00000000" w14:paraId="000000D3">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Les Bénéficiaires peuvent faire exécuter certaines prestations en lien avec le partenariat par des tiers qui sont des partenaires ou qui ne le sont pas.</w:t>
            </w:r>
          </w:p>
          <w:p w:rsidR="00000000" w:rsidDel="00000000" w:rsidP="00000000" w:rsidRDefault="00000000" w:rsidRPr="00000000" w14:paraId="000000D4">
            <w:pPr>
              <w:widowControl w:val="0"/>
              <w:spacing w:after="0" w:lineRule="auto"/>
              <w:jc w:val="left"/>
              <w:rPr>
                <w:rFonts w:ascii="Tahoma" w:cs="Tahoma" w:eastAsia="Tahoma" w:hAnsi="Tahoma"/>
              </w:rPr>
            </w:pPr>
            <w:r w:rsidDel="00000000" w:rsidR="00000000" w:rsidRPr="00000000">
              <w:rPr>
                <w:rtl w:val="0"/>
              </w:rPr>
            </w:r>
          </w:p>
          <w:p w:rsidR="00000000" w:rsidDel="00000000" w:rsidP="00000000" w:rsidRDefault="00000000" w:rsidRPr="00000000" w14:paraId="000000D5">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Types de justificatifs attendus : Devis / Facture</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Autres coûts directs sur factures</w:t>
            </w:r>
          </w:p>
        </w:tc>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Il existe aussi : </w:t>
            </w:r>
          </w:p>
          <w:p w:rsidR="00000000" w:rsidDel="00000000" w:rsidP="00000000" w:rsidRDefault="00000000" w:rsidRPr="00000000" w14:paraId="000000D8">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Coûts des instruments, du matériel et des consommables scientifiques</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Coûts indirects : réel sur factures ou taux forfaitaire rapporté aux frais de personnel directs du projet</w:t>
            </w:r>
          </w:p>
        </w:tc>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Ce sont généralement des coûts qui ne sont pas ou ne peuvent pas être liés directement à un projet.</w:t>
            </w:r>
          </w:p>
          <w:p w:rsidR="00000000" w:rsidDel="00000000" w:rsidP="00000000" w:rsidRDefault="00000000" w:rsidRPr="00000000" w14:paraId="000000DB">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Il s’agit notamment des dépenses administratives et de personnel habituelles, telles que les frais de gestion, de recrutement, de comptabilité et de nettoyage, les frais de téléphone, d'eau, d'électricité, etc).</w:t>
            </w:r>
          </w:p>
          <w:p w:rsidR="00000000" w:rsidDel="00000000" w:rsidP="00000000" w:rsidRDefault="00000000" w:rsidRPr="00000000" w14:paraId="000000DC">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Le Health Data Hub se réserve le droit d’appliquer, le cas échéant, un forfait correspondant à la réalité des dépenses du projet présentées par le Bénéficiaire.</w:t>
            </w:r>
          </w:p>
          <w:p w:rsidR="00000000" w:rsidDel="00000000" w:rsidP="00000000" w:rsidRDefault="00000000" w:rsidRPr="00000000" w14:paraId="000000DD">
            <w:pPr>
              <w:widowControl w:val="0"/>
              <w:spacing w:after="0" w:lineRule="auto"/>
              <w:jc w:val="left"/>
              <w:rPr>
                <w:rFonts w:ascii="Tahoma" w:cs="Tahoma" w:eastAsia="Tahoma" w:hAnsi="Tahoma"/>
              </w:rPr>
            </w:pPr>
            <w:r w:rsidDel="00000000" w:rsidR="00000000" w:rsidRPr="00000000">
              <w:rPr>
                <w:rtl w:val="0"/>
              </w:rPr>
            </w:r>
          </w:p>
          <w:p w:rsidR="00000000" w:rsidDel="00000000" w:rsidP="00000000" w:rsidRDefault="00000000" w:rsidRPr="00000000" w14:paraId="000000DE">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Types de justificatifs attendus : Tout justificatif permettant de justifier le montant des dépenses ou une synthèse des charges globales de la structure rapportée à la masse salariale</w:t>
            </w:r>
          </w:p>
        </w:tc>
      </w:tr>
      <w:tr>
        <w:trPr>
          <w:cantSplit w:val="0"/>
          <w:tblHeader w:val="0"/>
        </w:trPr>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Coûts indirects : frais de bouche / voyage et déplacement sur factures</w:t>
            </w:r>
          </w:p>
        </w:tc>
        <w:tc>
          <w:tcPr>
            <w:tcBorders>
              <w:top w:color="cccccc" w:space="0" w:sz="6" w:val="single"/>
              <w:left w:color="cccccc" w:space="0" w:sz="6" w:val="single"/>
              <w:bottom w:color="cccccc" w:space="0" w:sz="6" w:val="single"/>
              <w:right w:color="cccccc" w:space="0" w:sz="6" w:val="single"/>
            </w:tcBorders>
            <w:shd w:fill="faf7f6"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Gestion du déplacement professionnel ainsi que frais qui y sont associés (frais essentiel à la mission)</w:t>
            </w:r>
          </w:p>
          <w:p w:rsidR="00000000" w:rsidDel="00000000" w:rsidP="00000000" w:rsidRDefault="00000000" w:rsidRPr="00000000" w14:paraId="000000E1">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-Voyage uniquement en seconde classe pour le train et l'avion</w:t>
            </w:r>
          </w:p>
          <w:p w:rsidR="00000000" w:rsidDel="00000000" w:rsidP="00000000" w:rsidRDefault="00000000" w:rsidRPr="00000000" w14:paraId="000000E2">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-Repas 17.5 euros TTC par personne</w:t>
            </w:r>
          </w:p>
          <w:p w:rsidR="00000000" w:rsidDel="00000000" w:rsidP="00000000" w:rsidRDefault="00000000" w:rsidRPr="00000000" w14:paraId="000000E3">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-Transport en commun</w:t>
            </w:r>
          </w:p>
          <w:p w:rsidR="00000000" w:rsidDel="00000000" w:rsidP="00000000" w:rsidRDefault="00000000" w:rsidRPr="00000000" w14:paraId="000000E4">
            <w:pPr>
              <w:widowControl w:val="0"/>
              <w:spacing w:after="0" w:lineRule="auto"/>
              <w:jc w:val="left"/>
              <w:rPr>
                <w:rFonts w:ascii="Tahoma" w:cs="Tahoma" w:eastAsia="Tahoma" w:hAnsi="Tahoma"/>
              </w:rPr>
            </w:pPr>
            <w:r w:rsidDel="00000000" w:rsidR="00000000" w:rsidRPr="00000000">
              <w:rPr>
                <w:rFonts w:ascii="Tahoma" w:cs="Tahoma" w:eastAsia="Tahoma" w:hAnsi="Tahoma"/>
                <w:rtl w:val="0"/>
              </w:rPr>
              <w:t xml:space="preserve">Types de justificatifs attendus : Devis / Facture</w:t>
            </w:r>
          </w:p>
        </w:tc>
      </w:tr>
    </w:tbl>
    <w:p w:rsidR="00000000" w:rsidDel="00000000" w:rsidP="00000000" w:rsidRDefault="00000000" w:rsidRPr="00000000" w14:paraId="000000E5">
      <w:pPr>
        <w:spacing w:after="200" w:before="0" w:lineRule="auto"/>
        <w:rPr/>
      </w:pPr>
      <w:r w:rsidDel="00000000" w:rsidR="00000000" w:rsidRPr="00000000">
        <w:rPr>
          <w:rtl w:val="0"/>
        </w:rPr>
      </w:r>
    </w:p>
    <w:p w:rsidR="00000000" w:rsidDel="00000000" w:rsidP="00000000" w:rsidRDefault="00000000" w:rsidRPr="00000000" w14:paraId="000000E6">
      <w:pPr>
        <w:spacing w:after="200" w:before="0" w:line="240" w:lineRule="auto"/>
        <w:jc w:val="both"/>
        <w:rPr/>
      </w:pPr>
      <w:r w:rsidDel="00000000" w:rsidR="00000000" w:rsidRPr="00000000">
        <w:rPr>
          <w:rtl w:val="0"/>
        </w:rPr>
        <w:t xml:space="preserve">Le Health Data Hub détermine le cas échéant parmi les coûts présentés ceux qui sont éligibles et retenus pour le soutien financier.</w:t>
      </w:r>
    </w:p>
    <w:p w:rsidR="00000000" w:rsidDel="00000000" w:rsidP="00000000" w:rsidRDefault="00000000" w:rsidRPr="00000000" w14:paraId="000000E7">
      <w:pPr>
        <w:spacing w:after="200" w:before="0" w:line="240" w:lineRule="auto"/>
        <w:jc w:val="both"/>
        <w:rPr/>
      </w:pPr>
      <w:r w:rsidDel="00000000" w:rsidR="00000000" w:rsidRPr="00000000">
        <w:rPr>
          <w:rtl w:val="0"/>
        </w:rPr>
        <w:t xml:space="preserve">La date du début du projet et de prise en compte des dépenses doit être postérieure à la date de clôture de l’appel à manifestation d’intérêt.</w:t>
      </w:r>
    </w:p>
    <w:p w:rsidR="00000000" w:rsidDel="00000000" w:rsidP="00000000" w:rsidRDefault="00000000" w:rsidRPr="00000000" w14:paraId="000000E8">
      <w:pPr>
        <w:spacing w:after="200" w:before="0" w:line="240" w:lineRule="auto"/>
        <w:jc w:val="both"/>
        <w:rPr/>
      </w:pPr>
      <w:r w:rsidDel="00000000" w:rsidR="00000000" w:rsidRPr="00000000">
        <w:rPr>
          <w:rtl w:val="0"/>
        </w:rPr>
      </w:r>
    </w:p>
    <w:p w:rsidR="00000000" w:rsidDel="00000000" w:rsidP="00000000" w:rsidRDefault="00000000" w:rsidRPr="00000000" w14:paraId="000000E9">
      <w:pPr>
        <w:pStyle w:val="Heading3"/>
        <w:rPr/>
      </w:pPr>
      <w:bookmarkStart w:colFirst="0" w:colLast="0" w:name="_heading=h.147n2zr" w:id="27"/>
      <w:bookmarkEnd w:id="27"/>
      <w:r w:rsidDel="00000000" w:rsidR="00000000" w:rsidRPr="00000000">
        <w:rPr>
          <w:rtl w:val="0"/>
        </w:rPr>
        <w:t xml:space="preserve">6.1.2 Intensité et modalité du financement</w:t>
      </w:r>
    </w:p>
    <w:p w:rsidR="00000000" w:rsidDel="00000000" w:rsidP="00000000" w:rsidRDefault="00000000" w:rsidRPr="00000000" w14:paraId="000000EA">
      <w:pPr>
        <w:spacing w:after="200" w:before="0" w:line="240" w:lineRule="auto"/>
        <w:jc w:val="both"/>
        <w:rPr/>
      </w:pPr>
      <w:r w:rsidDel="00000000" w:rsidR="00000000" w:rsidRPr="00000000">
        <w:rPr>
          <w:rtl w:val="0"/>
        </w:rPr>
        <w:t xml:space="preserve">Les projets retenus bénéficieront d’un financement partiel des dépenses qui correspond à un taux d’aide appliqué à l’assiette des coûts éligibles et retenus du projet, dans la limite des taux d’intervention maximaux autorisés par la Commission européenne. Ces règles sont rappelées dans le règlement financier du Health Data Hub.</w:t>
      </w:r>
    </w:p>
    <w:p w:rsidR="00000000" w:rsidDel="00000000" w:rsidP="00000000" w:rsidRDefault="00000000" w:rsidRPr="00000000" w14:paraId="000000EB">
      <w:pPr>
        <w:spacing w:after="200" w:before="0" w:line="240" w:lineRule="auto"/>
        <w:jc w:val="both"/>
        <w:rPr/>
      </w:pPr>
      <w:r w:rsidDel="00000000" w:rsidR="00000000" w:rsidRPr="00000000">
        <w:rPr>
          <w:rtl w:val="0"/>
        </w:rPr>
        <w:t xml:space="preserve">Le financement est attribué sous la forme de subventions. </w:t>
      </w:r>
    </w:p>
    <w:p w:rsidR="00000000" w:rsidDel="00000000" w:rsidP="00000000" w:rsidRDefault="00000000" w:rsidRPr="00000000" w14:paraId="000000EC">
      <w:pPr>
        <w:spacing w:after="200" w:before="0" w:line="240" w:lineRule="auto"/>
        <w:rPr/>
      </w:pPr>
      <w:r w:rsidDel="00000000" w:rsidR="00000000" w:rsidRPr="00000000">
        <w:rPr>
          <w:rtl w:val="0"/>
        </w:rPr>
      </w:r>
    </w:p>
    <w:p w:rsidR="00000000" w:rsidDel="00000000" w:rsidP="00000000" w:rsidRDefault="00000000" w:rsidRPr="00000000" w14:paraId="000000ED">
      <w:pPr>
        <w:pStyle w:val="Heading3"/>
        <w:rPr/>
      </w:pPr>
      <w:bookmarkStart w:colFirst="0" w:colLast="0" w:name="_heading=h.3o7alnk" w:id="28"/>
      <w:bookmarkEnd w:id="28"/>
      <w:r w:rsidDel="00000000" w:rsidR="00000000" w:rsidRPr="00000000">
        <w:rPr>
          <w:rtl w:val="0"/>
        </w:rPr>
        <w:t xml:space="preserve">6.1.3 Conventionnement</w:t>
      </w:r>
    </w:p>
    <w:p w:rsidR="00000000" w:rsidDel="00000000" w:rsidP="00000000" w:rsidRDefault="00000000" w:rsidRPr="00000000" w14:paraId="000000EE">
      <w:pPr>
        <w:spacing w:after="200" w:before="0" w:lineRule="auto"/>
        <w:rPr/>
      </w:pPr>
      <w:r w:rsidDel="00000000" w:rsidR="00000000" w:rsidRPr="00000000">
        <w:rPr>
          <w:rtl w:val="0"/>
        </w:rPr>
        <w:t xml:space="preserve">Le financement par le Health Data Hub est conditionné à la signature d’une convention de collaboration sous </w:t>
      </w:r>
      <w:r w:rsidDel="00000000" w:rsidR="00000000" w:rsidRPr="00000000">
        <w:rPr>
          <w:rtl w:val="0"/>
        </w:rPr>
        <w:t xml:space="preserve">4</w:t>
      </w:r>
      <w:r w:rsidDel="00000000" w:rsidR="00000000" w:rsidRPr="00000000">
        <w:rPr>
          <w:rtl w:val="0"/>
        </w:rPr>
        <w:t xml:space="preserve"> mois.</w:t>
      </w:r>
    </w:p>
    <w:p w:rsidR="00000000" w:rsidDel="00000000" w:rsidP="00000000" w:rsidRDefault="00000000" w:rsidRPr="00000000" w14:paraId="000000EF">
      <w:pPr>
        <w:spacing w:after="200" w:before="0" w:line="240" w:lineRule="auto"/>
        <w:jc w:val="both"/>
        <w:rPr/>
      </w:pPr>
      <w:r w:rsidDel="00000000" w:rsidR="00000000" w:rsidRPr="00000000">
        <w:rPr>
          <w:rtl w:val="0"/>
        </w:rPr>
        <w:t xml:space="preserve">Le porteur du projet </w:t>
      </w:r>
      <w:r w:rsidDel="00000000" w:rsidR="00000000" w:rsidRPr="00000000">
        <w:rPr>
          <w:rtl w:val="0"/>
        </w:rPr>
        <w:t xml:space="preserve">signe</w:t>
      </w:r>
      <w:r w:rsidDel="00000000" w:rsidR="00000000" w:rsidRPr="00000000">
        <w:rPr>
          <w:rtl w:val="0"/>
        </w:rPr>
        <w:t xml:space="preserve"> une convention avec Health Data Hub </w:t>
      </w:r>
      <w:r w:rsidDel="00000000" w:rsidR="00000000" w:rsidRPr="00000000">
        <w:rPr>
          <w:rtl w:val="0"/>
        </w:rPr>
        <w:t xml:space="preserve">qui précise notamment</w:t>
      </w:r>
      <w:r w:rsidDel="00000000" w:rsidR="00000000" w:rsidRPr="00000000">
        <w:rPr>
          <w:rtl w:val="0"/>
        </w:rPr>
        <w:t xml:space="preserve"> les</w:t>
      </w:r>
      <w:r w:rsidDel="00000000" w:rsidR="00000000" w:rsidRPr="00000000">
        <w:rPr>
          <w:rtl w:val="0"/>
        </w:rPr>
        <w:t xml:space="preserve"> principes de valorisation scientifique à respecter (règles de citation et de signature fixées avec les responsables de données), </w:t>
      </w:r>
      <w:r w:rsidDel="00000000" w:rsidR="00000000" w:rsidRPr="00000000">
        <w:rPr>
          <w:rtl w:val="0"/>
        </w:rPr>
        <w:t xml:space="preserve">l’utilisation des crédits, le contenu du projet, le calendrier de réalisation, les modalités de pilotage du projet, le montant des tranches et les critères de déclenchement des tranches successives ; le cas échéant, les modalités de restitution des données nécessaires au suivi et à l’évaluation des investissements, les modalités de communication.</w:t>
      </w:r>
    </w:p>
    <w:p w:rsidR="00000000" w:rsidDel="00000000" w:rsidP="00000000" w:rsidRDefault="00000000" w:rsidRPr="00000000" w14:paraId="000000F0">
      <w:pPr>
        <w:spacing w:after="200" w:before="0" w:lineRule="auto"/>
        <w:rPr/>
      </w:pPr>
      <w:r w:rsidDel="00000000" w:rsidR="00000000" w:rsidRPr="00000000">
        <w:rPr>
          <w:rtl w:val="0"/>
        </w:rPr>
        <w:t xml:space="preserve">Il est attendu du porteur de projet d’identifier les contacts clés nécessaires au bon conventionnement du projet dans son institution en amont de l’étape de cadrage prévu dans l’accompagnement par le HDH.</w:t>
      </w:r>
    </w:p>
    <w:p w:rsidR="00000000" w:rsidDel="00000000" w:rsidP="00000000" w:rsidRDefault="00000000" w:rsidRPr="00000000" w14:paraId="000000F1">
      <w:pPr>
        <w:spacing w:after="200" w:before="0" w:line="240" w:lineRule="auto"/>
        <w:jc w:val="both"/>
        <w:rPr/>
      </w:pPr>
      <w:r w:rsidDel="00000000" w:rsidR="00000000" w:rsidRPr="00000000">
        <w:rPr>
          <w:rtl w:val="0"/>
        </w:rPr>
      </w:r>
    </w:p>
    <w:p w:rsidR="00000000" w:rsidDel="00000000" w:rsidP="00000000" w:rsidRDefault="00000000" w:rsidRPr="00000000" w14:paraId="000000F2">
      <w:pPr>
        <w:pStyle w:val="Heading3"/>
        <w:rPr/>
      </w:pPr>
      <w:bookmarkStart w:colFirst="0" w:colLast="0" w:name="_heading=h.23ckvvd" w:id="29"/>
      <w:bookmarkEnd w:id="29"/>
      <w:r w:rsidDel="00000000" w:rsidR="00000000" w:rsidRPr="00000000">
        <w:rPr>
          <w:rtl w:val="0"/>
        </w:rPr>
        <w:t xml:space="preserve">6.1.4 Versement du financement</w:t>
      </w:r>
    </w:p>
    <w:p w:rsidR="00000000" w:rsidDel="00000000" w:rsidP="00000000" w:rsidRDefault="00000000" w:rsidRPr="00000000" w14:paraId="000000F3">
      <w:pPr>
        <w:numPr>
          <w:ilvl w:val="0"/>
          <w:numId w:val="25"/>
        </w:numPr>
        <w:spacing w:after="200" w:before="0" w:lineRule="auto"/>
        <w:ind w:left="720" w:hanging="360"/>
        <w:rPr>
          <w:u w:val="none"/>
        </w:rPr>
      </w:pPr>
      <w:r w:rsidDel="00000000" w:rsidR="00000000" w:rsidRPr="00000000">
        <w:rPr>
          <w:rtl w:val="0"/>
        </w:rPr>
        <w:t xml:space="preserve">Le versement de l'aide sera conditionné à la réception de la convention de partenariat avec le Health Data Hub signée par le porteur de projet sous 4 mois. Chaque tranche de financement est également conditionnée à la bonne réception de justificatifs de financement.</w:t>
      </w:r>
    </w:p>
    <w:p w:rsidR="00000000" w:rsidDel="00000000" w:rsidP="00000000" w:rsidRDefault="00000000" w:rsidRPr="00000000" w14:paraId="000000F4">
      <w:pPr>
        <w:numPr>
          <w:ilvl w:val="0"/>
          <w:numId w:val="25"/>
        </w:numPr>
        <w:spacing w:after="200" w:before="0" w:lineRule="auto"/>
        <w:ind w:left="720" w:hanging="360"/>
        <w:rPr>
          <w:u w:val="none"/>
        </w:rPr>
      </w:pPr>
      <w:r w:rsidDel="00000000" w:rsidR="00000000" w:rsidRPr="00000000">
        <w:rPr>
          <w:rtl w:val="0"/>
        </w:rPr>
        <w:t xml:space="preserve">Une </w:t>
      </w:r>
      <w:r w:rsidDel="00000000" w:rsidR="00000000" w:rsidRPr="00000000">
        <w:rPr>
          <w:rtl w:val="0"/>
        </w:rPr>
        <w:t xml:space="preserve">rétention</w:t>
      </w:r>
      <w:r w:rsidDel="00000000" w:rsidR="00000000" w:rsidRPr="00000000">
        <w:rPr>
          <w:rtl w:val="0"/>
        </w:rPr>
        <w:t xml:space="preserve"> de </w:t>
      </w:r>
      <w:r w:rsidDel="00000000" w:rsidR="00000000" w:rsidRPr="00000000">
        <w:rPr>
          <w:rtl w:val="0"/>
        </w:rPr>
        <w:t xml:space="preserve">20</w:t>
      </w:r>
      <w:r w:rsidDel="00000000" w:rsidR="00000000" w:rsidRPr="00000000">
        <w:rPr>
          <w:rtl w:val="0"/>
        </w:rPr>
        <w:t xml:space="preserve">%</w:t>
      </w:r>
      <w:r w:rsidDel="00000000" w:rsidR="00000000" w:rsidRPr="00000000">
        <w:rPr>
          <w:rtl w:val="0"/>
        </w:rPr>
        <w:t xml:space="preserve"> par étape de financement du projet est appliquée. Le solde est versé après réception de la totalité des justificatifs de financement et après mise en open source des résultats attendus.</w:t>
      </w:r>
    </w:p>
    <w:p w:rsidR="00000000" w:rsidDel="00000000" w:rsidP="00000000" w:rsidRDefault="00000000" w:rsidRPr="00000000" w14:paraId="000000F5">
      <w:pPr>
        <w:numPr>
          <w:ilvl w:val="0"/>
          <w:numId w:val="25"/>
        </w:numPr>
        <w:spacing w:after="200" w:before="0" w:lineRule="auto"/>
        <w:ind w:left="720" w:hanging="360"/>
        <w:rPr>
          <w:u w:val="none"/>
        </w:rPr>
      </w:pPr>
      <w:r w:rsidDel="00000000" w:rsidR="00000000" w:rsidRPr="00000000">
        <w:rPr>
          <w:rtl w:val="0"/>
        </w:rPr>
        <w:t xml:space="preserve">Aucun versement ne sera effectué avant la signature de la convention.</w:t>
      </w:r>
    </w:p>
    <w:p w:rsidR="00000000" w:rsidDel="00000000" w:rsidP="00000000" w:rsidRDefault="00000000" w:rsidRPr="00000000" w14:paraId="000000F6">
      <w:pPr>
        <w:spacing w:line="240" w:lineRule="auto"/>
        <w:ind w:left="0" w:firstLine="0"/>
        <w:jc w:val="both"/>
        <w:rPr/>
      </w:pPr>
      <w:r w:rsidDel="00000000" w:rsidR="00000000" w:rsidRPr="00000000">
        <w:rPr>
          <w:rtl w:val="0"/>
        </w:rPr>
      </w:r>
    </w:p>
    <w:p w:rsidR="00000000" w:rsidDel="00000000" w:rsidP="00000000" w:rsidRDefault="00000000" w:rsidRPr="00000000" w14:paraId="000000F7">
      <w:pPr>
        <w:pStyle w:val="Heading3"/>
        <w:rPr/>
      </w:pPr>
      <w:bookmarkStart w:colFirst="0" w:colLast="0" w:name="_heading=h.ihv636" w:id="30"/>
      <w:bookmarkEnd w:id="30"/>
      <w:r w:rsidDel="00000000" w:rsidR="00000000" w:rsidRPr="00000000">
        <w:rPr>
          <w:rtl w:val="0"/>
        </w:rPr>
        <w:t xml:space="preserve">6.1.5 Rapport final</w:t>
      </w:r>
    </w:p>
    <w:p w:rsidR="00000000" w:rsidDel="00000000" w:rsidP="00000000" w:rsidRDefault="00000000" w:rsidRPr="00000000" w14:paraId="000000F8">
      <w:pPr>
        <w:spacing w:after="200" w:before="0" w:line="240" w:lineRule="auto"/>
        <w:jc w:val="both"/>
        <w:rPr/>
      </w:pPr>
      <w:r w:rsidDel="00000000" w:rsidR="00000000" w:rsidRPr="00000000">
        <w:rPr>
          <w:rtl w:val="0"/>
        </w:rPr>
        <w:t xml:space="preserve">Les porteurs du projet s’engagent à respecter les indications qui lui sont données par le Health Data Hub, pour la fourniture, la présentation et la diffusion du rapport final du projet. En cas de non-conformité des dépenses exposées avec le projet présenté lors du dépôt du dossier, ou en cas d’abandon du projet, un reversement total ou partiel du financement est exigé.</w:t>
      </w:r>
    </w:p>
    <w:p w:rsidR="00000000" w:rsidDel="00000000" w:rsidP="00000000" w:rsidRDefault="00000000" w:rsidRPr="00000000" w14:paraId="000000F9">
      <w:pPr>
        <w:spacing w:after="200" w:before="0" w:line="240" w:lineRule="auto"/>
        <w:jc w:val="both"/>
        <w:rPr/>
      </w:pPr>
      <w:r w:rsidDel="00000000" w:rsidR="00000000" w:rsidRPr="00000000">
        <w:rPr>
          <w:rtl w:val="0"/>
        </w:rPr>
        <w:t xml:space="preserve">Le rapport final devra notamment préciser pour chaque partenaire :</w:t>
      </w:r>
    </w:p>
    <w:p w:rsidR="00000000" w:rsidDel="00000000" w:rsidP="00000000" w:rsidRDefault="00000000" w:rsidRPr="00000000" w14:paraId="000000FA">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200" w:before="0" w:line="240" w:lineRule="auto"/>
        <w:ind w:left="720" w:hanging="360"/>
        <w:jc w:val="both"/>
        <w:rPr>
          <w:rFonts w:ascii="Tahoma" w:cs="Tahoma" w:eastAsia="Tahoma" w:hAnsi="Tahoma"/>
        </w:rPr>
      </w:pPr>
      <w:r w:rsidDel="00000000" w:rsidR="00000000" w:rsidRPr="00000000">
        <w:rPr>
          <w:rtl w:val="0"/>
        </w:rPr>
        <w:t xml:space="preserve">Les résultats obtenus et leur valorisation potentielle à l’issue du projet, en lien avec les objectifs décrits dans le dossier de candidature ;</w:t>
      </w:r>
      <w:r w:rsidDel="00000000" w:rsidR="00000000" w:rsidRPr="00000000">
        <w:rPr>
          <w:rtl w:val="0"/>
        </w:rPr>
      </w:r>
    </w:p>
    <w:p w:rsidR="00000000" w:rsidDel="00000000" w:rsidP="00000000" w:rsidRDefault="00000000" w:rsidRPr="00000000" w14:paraId="000000FB">
      <w:pPr>
        <w:numPr>
          <w:ilvl w:val="0"/>
          <w:numId w:val="15"/>
        </w:numPr>
        <w:pBdr>
          <w:top w:color="000000" w:space="0" w:sz="0" w:val="none"/>
          <w:left w:color="000000" w:space="0" w:sz="0" w:val="none"/>
          <w:bottom w:color="000000" w:space="0" w:sz="0" w:val="none"/>
          <w:right w:color="000000" w:space="0" w:sz="0" w:val="none"/>
          <w:between w:color="000000" w:space="0" w:sz="0" w:val="none"/>
        </w:pBdr>
        <w:spacing w:after="200" w:before="0" w:line="240" w:lineRule="auto"/>
        <w:ind w:left="720" w:hanging="360"/>
        <w:jc w:val="both"/>
        <w:rPr>
          <w:rFonts w:ascii="Tahoma" w:cs="Tahoma" w:eastAsia="Tahoma" w:hAnsi="Tahoma"/>
        </w:rPr>
      </w:pPr>
      <w:r w:rsidDel="00000000" w:rsidR="00000000" w:rsidRPr="00000000">
        <w:rPr>
          <w:rtl w:val="0"/>
        </w:rPr>
        <w:t xml:space="preserve">Un état récapitulatif des dépenses effectuées dans le cadre du projet, certifié exact et daté et signé par son commissaire aux comptes, son expert-comptable ou son agent comptable.</w:t>
      </w:r>
      <w:r w:rsidDel="00000000" w:rsidR="00000000" w:rsidRPr="00000000">
        <w:rPr>
          <w:rtl w:val="0"/>
        </w:rPr>
      </w:r>
    </w:p>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spacing w:after="200" w:before="0" w:line="240" w:lineRule="auto"/>
        <w:ind w:left="0" w:firstLine="0"/>
        <w:jc w:val="both"/>
        <w:rPr/>
      </w:pPr>
      <w:r w:rsidDel="00000000" w:rsidR="00000000" w:rsidRPr="00000000">
        <w:rPr>
          <w:rtl w:val="0"/>
        </w:rPr>
        <w:t xml:space="preserve">Des justificatifs et résultats intermédiaires peuvent être demandés conformément à ce qui est prévu dans la convention de collaboration. </w:t>
      </w:r>
    </w:p>
    <w:p w:rsidR="00000000" w:rsidDel="00000000" w:rsidP="00000000" w:rsidRDefault="00000000" w:rsidRPr="00000000" w14:paraId="000000FD">
      <w:pPr>
        <w:pBdr>
          <w:top w:color="000000" w:space="0" w:sz="0" w:val="none"/>
          <w:left w:color="000000" w:space="0" w:sz="0" w:val="none"/>
          <w:bottom w:color="000000" w:space="0" w:sz="0" w:val="none"/>
          <w:right w:color="000000" w:space="0" w:sz="0" w:val="none"/>
          <w:between w:color="000000" w:space="0" w:sz="0" w:val="none"/>
        </w:pBdr>
        <w:spacing w:after="200" w:before="0" w:line="240" w:lineRule="auto"/>
        <w:ind w:left="0" w:firstLine="0"/>
        <w:jc w:val="both"/>
        <w:rPr/>
      </w:pPr>
      <w:r w:rsidDel="00000000" w:rsidR="00000000" w:rsidRPr="00000000">
        <w:rPr>
          <w:rtl w:val="0"/>
        </w:rPr>
      </w:r>
    </w:p>
    <w:p w:rsidR="00000000" w:rsidDel="00000000" w:rsidP="00000000" w:rsidRDefault="00000000" w:rsidRPr="00000000" w14:paraId="000000FE">
      <w:pPr>
        <w:pStyle w:val="Heading1"/>
        <w:rPr/>
      </w:pPr>
      <w:bookmarkStart w:colFirst="0" w:colLast="0" w:name="_heading=h.32hioqz" w:id="31"/>
      <w:bookmarkEnd w:id="31"/>
      <w:r w:rsidDel="00000000" w:rsidR="00000000" w:rsidRPr="00000000">
        <w:rPr>
          <w:rtl w:val="0"/>
        </w:rPr>
        <w:t xml:space="preserve">7. CONFIDENTIALITE ET COMMUNICATION</w:t>
      </w:r>
    </w:p>
    <w:p w:rsidR="00000000" w:rsidDel="00000000" w:rsidP="00000000" w:rsidRDefault="00000000" w:rsidRPr="00000000" w14:paraId="000000FF">
      <w:pPr>
        <w:spacing w:after="200" w:before="0" w:line="240" w:lineRule="auto"/>
        <w:jc w:val="both"/>
        <w:rPr>
          <w:sz w:val="24"/>
          <w:szCs w:val="24"/>
        </w:rPr>
      </w:pPr>
      <w:r w:rsidDel="00000000" w:rsidR="00000000" w:rsidRPr="00000000">
        <w:rPr>
          <w:rtl w:val="0"/>
        </w:rPr>
        <w:t xml:space="preserve">Le Health Data Hub s’assure que les documents transmis dans le cadre du présent </w:t>
      </w:r>
      <w:r w:rsidDel="00000000" w:rsidR="00000000" w:rsidRPr="00000000">
        <w:rPr>
          <w:rtl w:val="0"/>
        </w:rPr>
        <w:t xml:space="preserve">appel à manifestation d'intérêt</w:t>
      </w:r>
      <w:r w:rsidDel="00000000" w:rsidR="00000000" w:rsidRPr="00000000">
        <w:rPr>
          <w:rtl w:val="0"/>
        </w:rPr>
        <w:t xml:space="preserve"> sont soumis à la plus stricte confidentialité et ne sont communiqués que dans le cadre de l’expertise et de la gouvernance du présent </w:t>
      </w:r>
      <w:r w:rsidDel="00000000" w:rsidR="00000000" w:rsidRPr="00000000">
        <w:rPr>
          <w:rtl w:val="0"/>
        </w:rPr>
        <w:t xml:space="preserve">appel à manifestation d'intérêt</w:t>
      </w:r>
      <w:r w:rsidDel="00000000" w:rsidR="00000000" w:rsidRPr="00000000">
        <w:rPr>
          <w:rtl w:val="0"/>
        </w:rPr>
        <w:t xml:space="preserve">. L’ensemble des personnes ayant accès aux dossiers de candidatures est tenu à la plus stricte confidentialité.</w:t>
      </w:r>
      <w:r w:rsidDel="00000000" w:rsidR="00000000" w:rsidRPr="00000000">
        <w:rPr>
          <w:rtl w:val="0"/>
        </w:rPr>
      </w:r>
    </w:p>
    <w:p w:rsidR="00000000" w:rsidDel="00000000" w:rsidP="00000000" w:rsidRDefault="00000000" w:rsidRPr="00000000" w14:paraId="00000100">
      <w:pPr>
        <w:spacing w:after="200" w:before="0" w:line="240" w:lineRule="auto"/>
        <w:jc w:val="both"/>
        <w:rPr/>
      </w:pPr>
      <w:r w:rsidDel="00000000" w:rsidR="00000000" w:rsidRPr="00000000">
        <w:rPr>
          <w:rtl w:val="0"/>
        </w:rPr>
        <w:t xml:space="preserve">Toute opération de communication doit être concertée entre le(s) porteur(s) de projet, et le Health Data Hub, afin de vérifier notamment le caractère diffusable des informations. Le Health Data Hub pourra communiquer sur les objectifs généraux de l’</w:t>
      </w:r>
      <w:r w:rsidDel="00000000" w:rsidR="00000000" w:rsidRPr="00000000">
        <w:rPr>
          <w:rtl w:val="0"/>
        </w:rPr>
        <w:t xml:space="preserve">appel à manifestation d'intérêt</w:t>
      </w:r>
      <w:r w:rsidDel="00000000" w:rsidR="00000000" w:rsidRPr="00000000">
        <w:rPr>
          <w:rtl w:val="0"/>
        </w:rPr>
        <w:t xml:space="preserve">, ses enjeux et ses résultats, ainsi que sur les projets retenus, dans le respect des secrets des affaires. Il pourra notamment utiliser à cette fin la « fiche communication » co-construite avec le porteur sélectionné et qui sera par ailleurs diffusée sur le site internet du HDH. </w:t>
      </w:r>
    </w:p>
    <w:p w:rsidR="00000000" w:rsidDel="00000000" w:rsidP="00000000" w:rsidRDefault="00000000" w:rsidRPr="00000000" w14:paraId="00000101">
      <w:pPr>
        <w:spacing w:after="200" w:before="0" w:line="240" w:lineRule="auto"/>
        <w:jc w:val="both"/>
        <w:rPr/>
      </w:pPr>
      <w:r w:rsidDel="00000000" w:rsidR="00000000" w:rsidRPr="00000000">
        <w:rPr>
          <w:rtl w:val="0"/>
        </w:rPr>
        <w:t xml:space="preserve">Une fois le projet sélectionné, chaque bénéficiaire soutenu par le Health Data Hub est tenu de mentionner ce soutien dans ses actions de communication, ou la publication des résultats du projet, avec l’une des mentions uniques :</w:t>
      </w:r>
    </w:p>
    <w:p w:rsidR="00000000" w:rsidDel="00000000" w:rsidP="00000000" w:rsidRDefault="00000000" w:rsidRPr="00000000" w14:paraId="00000102">
      <w:pPr>
        <w:numPr>
          <w:ilvl w:val="0"/>
          <w:numId w:val="11"/>
        </w:numPr>
        <w:pBdr>
          <w:top w:color="000000" w:space="0" w:sz="0" w:val="none"/>
          <w:left w:color="000000" w:space="0" w:sz="0" w:val="none"/>
          <w:bottom w:color="000000" w:space="0" w:sz="0" w:val="none"/>
          <w:right w:color="000000" w:space="0" w:sz="0" w:val="none"/>
          <w:between w:color="000000" w:space="0" w:sz="0" w:val="none"/>
        </w:pBdr>
        <w:spacing w:after="200" w:before="0" w:line="240" w:lineRule="auto"/>
        <w:ind w:left="850.3937007874017" w:hanging="360"/>
        <w:jc w:val="both"/>
        <w:rPr/>
      </w:pPr>
      <w:r w:rsidDel="00000000" w:rsidR="00000000" w:rsidRPr="00000000">
        <w:rPr>
          <w:rtl w:val="0"/>
        </w:rPr>
        <w:t xml:space="preserve">« Ce projet a été soutenu par le Health Data Hub dans le cadre de sa mission de soutien à l’innovation » </w:t>
      </w:r>
    </w:p>
    <w:p w:rsidR="00000000" w:rsidDel="00000000" w:rsidP="00000000" w:rsidRDefault="00000000" w:rsidRPr="00000000" w14:paraId="00000103">
      <w:pPr>
        <w:spacing w:after="200" w:before="0" w:line="240" w:lineRule="auto"/>
        <w:jc w:val="both"/>
        <w:rPr/>
      </w:pPr>
      <w:r w:rsidDel="00000000" w:rsidR="00000000" w:rsidRPr="00000000">
        <w:rPr>
          <w:rtl w:val="0"/>
        </w:rPr>
        <w:t xml:space="preserve">Enfin, les bénéficiaires sont tenus à une obligation de transparence et de </w:t>
      </w:r>
      <w:r w:rsidDel="00000000" w:rsidR="00000000" w:rsidRPr="00000000">
        <w:rPr>
          <w:i w:val="1"/>
          <w:rtl w:val="0"/>
        </w:rPr>
        <w:t xml:space="preserve">reporting</w:t>
      </w:r>
      <w:r w:rsidDel="00000000" w:rsidR="00000000" w:rsidRPr="00000000">
        <w:rPr>
          <w:rtl w:val="0"/>
        </w:rPr>
        <w:t xml:space="preserve"> vis-à-vis du Health Data Hub, nécessaire à l’évaluation </w:t>
      </w:r>
      <w:r w:rsidDel="00000000" w:rsidR="00000000" w:rsidRPr="00000000">
        <w:rPr>
          <w:i w:val="1"/>
          <w:rtl w:val="0"/>
        </w:rPr>
        <w:t xml:space="preserve">ex-post</w:t>
      </w:r>
      <w:r w:rsidDel="00000000" w:rsidR="00000000" w:rsidRPr="00000000">
        <w:rPr>
          <w:rtl w:val="0"/>
        </w:rPr>
        <w:t xml:space="preserve"> des projets ou de l’</w:t>
      </w:r>
      <w:r w:rsidDel="00000000" w:rsidR="00000000" w:rsidRPr="00000000">
        <w:rPr>
          <w:rtl w:val="0"/>
        </w:rPr>
        <w:t xml:space="preserve">appel à manifestation d'intérêt</w:t>
      </w:r>
      <w:r w:rsidDel="00000000" w:rsidR="00000000" w:rsidRPr="00000000">
        <w:rPr>
          <w:rtl w:val="0"/>
        </w:rPr>
        <w:t xml:space="preserve">.</w:t>
      </w:r>
    </w:p>
    <w:p w:rsidR="00000000" w:rsidDel="00000000" w:rsidP="00000000" w:rsidRDefault="00000000" w:rsidRPr="00000000" w14:paraId="00000104">
      <w:pPr>
        <w:spacing w:after="200" w:before="0" w:line="240" w:lineRule="auto"/>
        <w:rPr/>
      </w:pPr>
      <w:r w:rsidDel="00000000" w:rsidR="00000000" w:rsidRPr="00000000">
        <w:rPr>
          <w:rtl w:val="0"/>
        </w:rPr>
        <w:t xml:space="preserve">Au fil des étapes, il est attendu que l’équipe projet collabore avec le Health Data Hub pour mettre en valeur l’avancement du projet et les premiers résultats dans des opérations de communication organisées conjointement. </w:t>
      </w:r>
    </w:p>
    <w:p w:rsidR="00000000" w:rsidDel="00000000" w:rsidP="00000000" w:rsidRDefault="00000000" w:rsidRPr="00000000" w14:paraId="00000105">
      <w:pPr>
        <w:spacing w:after="200" w:before="0" w:line="240" w:lineRule="auto"/>
        <w:rPr/>
      </w:pPr>
      <w:r w:rsidDel="00000000" w:rsidR="00000000" w:rsidRPr="00000000">
        <w:rPr>
          <w:rtl w:val="0"/>
        </w:rPr>
      </w:r>
    </w:p>
    <w:p w:rsidR="00000000" w:rsidDel="00000000" w:rsidP="00000000" w:rsidRDefault="00000000" w:rsidRPr="00000000" w14:paraId="00000106">
      <w:pPr>
        <w:pStyle w:val="Heading1"/>
        <w:rPr/>
      </w:pPr>
      <w:bookmarkStart w:colFirst="0" w:colLast="0" w:name="_heading=h.1hmsyys" w:id="32"/>
      <w:bookmarkEnd w:id="32"/>
      <w:r w:rsidDel="00000000" w:rsidR="00000000" w:rsidRPr="00000000">
        <w:rPr>
          <w:rtl w:val="0"/>
        </w:rPr>
        <w:t xml:space="preserve">8. SOUMISSION DES PROJETS</w:t>
      </w:r>
    </w:p>
    <w:p w:rsidR="00000000" w:rsidDel="00000000" w:rsidP="00000000" w:rsidRDefault="00000000" w:rsidRPr="00000000" w14:paraId="00000107">
      <w:pPr>
        <w:spacing w:after="200" w:before="0" w:line="240" w:lineRule="auto"/>
        <w:jc w:val="both"/>
        <w:rPr/>
      </w:pPr>
      <w:r w:rsidDel="00000000" w:rsidR="00000000" w:rsidRPr="00000000">
        <w:rPr>
          <w:rtl w:val="0"/>
        </w:rPr>
        <w:t xml:space="preserve">Le dossier de candidature est notamment composé des éléments suivants :</w:t>
      </w:r>
    </w:p>
    <w:p w:rsidR="00000000" w:rsidDel="00000000" w:rsidP="00000000" w:rsidRDefault="00000000" w:rsidRPr="00000000" w14:paraId="00000108">
      <w:pPr>
        <w:numPr>
          <w:ilvl w:val="0"/>
          <w:numId w:val="15"/>
        </w:numPr>
        <w:spacing w:after="200" w:before="0" w:line="240" w:lineRule="auto"/>
        <w:ind w:left="720" w:hanging="360"/>
        <w:jc w:val="both"/>
        <w:rPr>
          <w:rFonts w:ascii="Tahoma" w:cs="Tahoma" w:eastAsia="Tahoma" w:hAnsi="Tahoma"/>
        </w:rPr>
      </w:pPr>
      <w:r w:rsidDel="00000000" w:rsidR="00000000" w:rsidRPr="00000000">
        <w:rPr>
          <w:rtl w:val="0"/>
        </w:rPr>
        <w:t xml:space="preserve">Le formulaire de candidature complété sur le site de démarches-simplifiées. Les informations demandées dans ce formulaire comprennent notamment : </w:t>
      </w:r>
      <w:r w:rsidDel="00000000" w:rsidR="00000000" w:rsidRPr="00000000">
        <w:rPr>
          <w:rtl w:val="0"/>
        </w:rPr>
      </w:r>
    </w:p>
    <w:p w:rsidR="00000000" w:rsidDel="00000000" w:rsidP="00000000" w:rsidRDefault="00000000" w:rsidRPr="00000000" w14:paraId="00000109">
      <w:pPr>
        <w:numPr>
          <w:ilvl w:val="1"/>
          <w:numId w:val="15"/>
        </w:numPr>
        <w:spacing w:after="100" w:before="0" w:line="240" w:lineRule="auto"/>
        <w:ind w:left="1440" w:hanging="360"/>
        <w:jc w:val="both"/>
        <w:rPr>
          <w:rFonts w:ascii="Tahoma" w:cs="Tahoma" w:eastAsia="Tahoma" w:hAnsi="Tahoma"/>
        </w:rPr>
      </w:pPr>
      <w:r w:rsidDel="00000000" w:rsidR="00000000" w:rsidRPr="00000000">
        <w:rPr>
          <w:rtl w:val="0"/>
        </w:rPr>
        <w:t xml:space="preserve">la synthèse des éléments clés ;</w:t>
      </w:r>
      <w:r w:rsidDel="00000000" w:rsidR="00000000" w:rsidRPr="00000000">
        <w:rPr>
          <w:rtl w:val="0"/>
        </w:rPr>
      </w:r>
    </w:p>
    <w:p w:rsidR="00000000" w:rsidDel="00000000" w:rsidP="00000000" w:rsidRDefault="00000000" w:rsidRPr="00000000" w14:paraId="0000010A">
      <w:pPr>
        <w:numPr>
          <w:ilvl w:val="1"/>
          <w:numId w:val="15"/>
        </w:numPr>
        <w:pBdr>
          <w:top w:color="000000" w:space="0" w:sz="0" w:val="none"/>
          <w:left w:color="000000" w:space="0" w:sz="0" w:val="none"/>
          <w:bottom w:color="000000" w:space="0" w:sz="0" w:val="none"/>
          <w:right w:color="000000" w:space="0" w:sz="0" w:val="none"/>
          <w:between w:color="000000" w:space="0" w:sz="0" w:val="none"/>
        </w:pBdr>
        <w:spacing w:after="100" w:before="0" w:line="240" w:lineRule="auto"/>
        <w:ind w:left="1440" w:hanging="360"/>
        <w:jc w:val="both"/>
        <w:rPr>
          <w:rFonts w:ascii="Tahoma" w:cs="Tahoma" w:eastAsia="Tahoma" w:hAnsi="Tahoma"/>
        </w:rPr>
      </w:pPr>
      <w:r w:rsidDel="00000000" w:rsidR="00000000" w:rsidRPr="00000000">
        <w:rPr>
          <w:rtl w:val="0"/>
        </w:rPr>
        <w:t xml:space="preserve">la présentation d’ensemble des partenaires ;</w:t>
      </w:r>
      <w:r w:rsidDel="00000000" w:rsidR="00000000" w:rsidRPr="00000000">
        <w:rPr>
          <w:rtl w:val="0"/>
        </w:rPr>
      </w:r>
    </w:p>
    <w:p w:rsidR="00000000" w:rsidDel="00000000" w:rsidP="00000000" w:rsidRDefault="00000000" w:rsidRPr="00000000" w14:paraId="0000010B">
      <w:pPr>
        <w:numPr>
          <w:ilvl w:val="1"/>
          <w:numId w:val="15"/>
        </w:numPr>
        <w:pBdr>
          <w:top w:color="000000" w:space="0" w:sz="0" w:val="none"/>
          <w:left w:color="000000" w:space="0" w:sz="0" w:val="none"/>
          <w:bottom w:color="000000" w:space="0" w:sz="0" w:val="none"/>
          <w:right w:color="000000" w:space="0" w:sz="0" w:val="none"/>
          <w:between w:color="000000" w:space="0" w:sz="0" w:val="none"/>
        </w:pBdr>
        <w:spacing w:after="100" w:before="0" w:line="240" w:lineRule="auto"/>
        <w:ind w:left="1440" w:hanging="360"/>
        <w:jc w:val="both"/>
        <w:rPr>
          <w:rFonts w:ascii="Tahoma" w:cs="Tahoma" w:eastAsia="Tahoma" w:hAnsi="Tahoma"/>
        </w:rPr>
      </w:pPr>
      <w:r w:rsidDel="00000000" w:rsidR="00000000" w:rsidRPr="00000000">
        <w:rPr>
          <w:rtl w:val="0"/>
        </w:rPr>
        <w:t xml:space="preserve">la présentation de chaque partenaire ;</w:t>
      </w:r>
      <w:r w:rsidDel="00000000" w:rsidR="00000000" w:rsidRPr="00000000">
        <w:rPr>
          <w:rtl w:val="0"/>
        </w:rPr>
      </w:r>
    </w:p>
    <w:p w:rsidR="00000000" w:rsidDel="00000000" w:rsidP="00000000" w:rsidRDefault="00000000" w:rsidRPr="00000000" w14:paraId="0000010C">
      <w:pPr>
        <w:numPr>
          <w:ilvl w:val="1"/>
          <w:numId w:val="15"/>
        </w:numPr>
        <w:pBdr>
          <w:top w:color="000000" w:space="0" w:sz="0" w:val="none"/>
          <w:left w:color="000000" w:space="0" w:sz="0" w:val="none"/>
          <w:bottom w:color="000000" w:space="0" w:sz="0" w:val="none"/>
          <w:right w:color="000000" w:space="0" w:sz="0" w:val="none"/>
          <w:between w:color="000000" w:space="0" w:sz="0" w:val="none"/>
        </w:pBdr>
        <w:spacing w:after="100" w:before="0" w:line="240" w:lineRule="auto"/>
        <w:ind w:left="1440" w:hanging="360"/>
        <w:jc w:val="both"/>
        <w:rPr>
          <w:rFonts w:ascii="Tahoma" w:cs="Tahoma" w:eastAsia="Tahoma" w:hAnsi="Tahoma"/>
        </w:rPr>
      </w:pPr>
      <w:r w:rsidDel="00000000" w:rsidR="00000000" w:rsidRPr="00000000">
        <w:rPr>
          <w:rtl w:val="0"/>
        </w:rPr>
        <w:t xml:space="preserve">la présentation du projet ;</w:t>
      </w:r>
      <w:r w:rsidDel="00000000" w:rsidR="00000000" w:rsidRPr="00000000">
        <w:rPr>
          <w:rtl w:val="0"/>
        </w:rPr>
      </w:r>
    </w:p>
    <w:p w:rsidR="00000000" w:rsidDel="00000000" w:rsidP="00000000" w:rsidRDefault="00000000" w:rsidRPr="00000000" w14:paraId="0000010D">
      <w:pPr>
        <w:numPr>
          <w:ilvl w:val="0"/>
          <w:numId w:val="12"/>
        </w:numPr>
        <w:spacing w:after="200" w:before="0" w:line="240" w:lineRule="auto"/>
        <w:ind w:left="720" w:hanging="360"/>
        <w:jc w:val="both"/>
        <w:rPr/>
      </w:pPr>
      <w:r w:rsidDel="00000000" w:rsidR="00000000" w:rsidRPr="00000000">
        <w:rPr>
          <w:rtl w:val="0"/>
        </w:rPr>
        <w:t xml:space="preserve">Un tableur au format Excel comprenant la demande de financement adressée au HDH en décomposant les types de dépenses et les montants associés par grandes étapes du projet. </w:t>
      </w:r>
    </w:p>
    <w:p w:rsidR="00000000" w:rsidDel="00000000" w:rsidP="00000000" w:rsidRDefault="00000000" w:rsidRPr="00000000" w14:paraId="0000010E">
      <w:pPr>
        <w:spacing w:after="200" w:before="0" w:line="240" w:lineRule="auto"/>
        <w:ind w:left="720" w:firstLine="0"/>
        <w:jc w:val="both"/>
        <w:rPr>
          <w:u w:val="none"/>
        </w:rPr>
      </w:pPr>
      <w:r w:rsidDel="00000000" w:rsidR="00000000" w:rsidRPr="00000000">
        <w:rPr>
          <w:rtl w:val="0"/>
        </w:rPr>
        <w:t xml:space="preserve">Pour plus de détails sur les dépenses admissibles par le HDH, se référer à la section “6.1.1 Coûts éligibles et retenus” du présent document ou au </w:t>
      </w:r>
      <w:hyperlink r:id="rId23">
        <w:r w:rsidDel="00000000" w:rsidR="00000000" w:rsidRPr="00000000">
          <w:rPr>
            <w:color w:val="1155cc"/>
            <w:u w:val="single"/>
            <w:rtl w:val="0"/>
          </w:rPr>
          <w:t xml:space="preserve">règlement financier du HDH</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0F">
      <w:pPr>
        <w:numPr>
          <w:ilvl w:val="0"/>
          <w:numId w:val="16"/>
        </w:numPr>
        <w:spacing w:after="200" w:before="0" w:line="240" w:lineRule="auto"/>
        <w:ind w:left="720" w:hanging="360"/>
        <w:jc w:val="both"/>
        <w:rPr>
          <w:u w:val="none"/>
        </w:rPr>
      </w:pPr>
      <w:r w:rsidDel="00000000" w:rsidR="00000000" w:rsidRPr="00000000">
        <w:rPr>
          <w:rtl w:val="0"/>
        </w:rPr>
        <w:t xml:space="preserve">Une fiche projet décrivant succinctement le projet, écrite dans un langage directement compréhensible pour une exposition au grand public en cas de sélection du projet.</w:t>
      </w:r>
      <w:r w:rsidDel="00000000" w:rsidR="00000000" w:rsidRPr="00000000">
        <w:rPr>
          <w:rtl w:val="0"/>
        </w:rPr>
      </w:r>
    </w:p>
    <w:p w:rsidR="00000000" w:rsidDel="00000000" w:rsidP="00000000" w:rsidRDefault="00000000" w:rsidRPr="00000000" w14:paraId="00000110">
      <w:pPr>
        <w:numPr>
          <w:ilvl w:val="0"/>
          <w:numId w:val="16"/>
        </w:numPr>
        <w:spacing w:after="200" w:before="0" w:line="240" w:lineRule="auto"/>
        <w:ind w:left="720" w:hanging="360"/>
        <w:jc w:val="both"/>
        <w:rPr>
          <w:u w:val="none"/>
        </w:rPr>
      </w:pPr>
      <w:r w:rsidDel="00000000" w:rsidR="00000000" w:rsidRPr="00000000">
        <w:rPr>
          <w:rtl w:val="0"/>
        </w:rPr>
        <w:t xml:space="preserve">La candidature doit être rédigée en français.</w:t>
      </w:r>
      <w:r w:rsidDel="00000000" w:rsidR="00000000" w:rsidRPr="00000000">
        <w:rPr>
          <w:rtl w:val="0"/>
        </w:rPr>
      </w:r>
    </w:p>
    <w:p w:rsidR="00000000" w:rsidDel="00000000" w:rsidP="00000000" w:rsidRDefault="00000000" w:rsidRPr="00000000" w14:paraId="00000111">
      <w:pPr>
        <w:numPr>
          <w:ilvl w:val="0"/>
          <w:numId w:val="16"/>
        </w:numPr>
        <w:spacing w:after="200" w:before="0" w:lineRule="auto"/>
        <w:ind w:left="720" w:hanging="360"/>
        <w:rPr/>
      </w:pPr>
      <w:r w:rsidDel="00000000" w:rsidR="00000000" w:rsidRPr="00000000">
        <w:rPr>
          <w:rtl w:val="0"/>
        </w:rPr>
        <w:t xml:space="preserve">Le candidat doit s’être assuré d’avoir informé son organisme de tutelle de sa candidature au présent AMI.</w:t>
      </w:r>
      <w:r w:rsidDel="00000000" w:rsidR="00000000" w:rsidRPr="00000000">
        <w:rPr>
          <w:rtl w:val="0"/>
        </w:rPr>
        <w:t xml:space="preserve"> Si possible, ajouter une lettre d’intention de l’institution ou préciser l’état d’avancement avec cette dernière (contact entrepôt, responsable recherche et innovation…).</w:t>
      </w:r>
    </w:p>
    <w:p w:rsidR="00000000" w:rsidDel="00000000" w:rsidP="00000000" w:rsidRDefault="00000000" w:rsidRPr="00000000" w14:paraId="00000112">
      <w:pPr>
        <w:spacing w:after="200" w:before="0" w:lineRule="auto"/>
        <w:rPr/>
      </w:pPr>
      <w:r w:rsidDel="00000000" w:rsidR="00000000" w:rsidRPr="00000000">
        <w:rPr>
          <w:rtl w:val="0"/>
        </w:rPr>
      </w:r>
    </w:p>
    <w:sectPr>
      <w:headerReference r:id="rId24" w:type="default"/>
      <w:headerReference r:id="rId25" w:type="first"/>
      <w:footerReference r:id="rId26" w:type="default"/>
      <w:footerReference r:id="rId27" w:type="first"/>
      <w:pgSz w:h="16834" w:w="11909" w:orient="portrait"/>
      <w:pgMar w:bottom="1440" w:top="1440" w:left="1440" w:right="1440" w:header="720.0000000000001" w:footer="119.0551181102362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8">
    <w:pPr>
      <w:tabs>
        <w:tab w:val="center" w:leader="none" w:pos="4536"/>
        <w:tab w:val="right" w:leader="none" w:pos="9072"/>
      </w:tabs>
      <w:jc w:val="left"/>
      <w:rPr>
        <w:sz w:val="16"/>
        <w:szCs w:val="16"/>
      </w:rPr>
    </w:pPr>
    <w:r w:rsidDel="00000000" w:rsidR="00000000" w:rsidRPr="00000000">
      <w:rPr>
        <w:sz w:val="16"/>
        <w:szCs w:val="16"/>
        <w:rtl w:val="0"/>
      </w:rPr>
      <w:t xml:space="preserve">Cahier des charges - Appel à Manifestation d’Intérêt du Catalogue du SNDS</w:t>
    </w:r>
  </w:p>
  <w:p w:rsidR="00000000" w:rsidDel="00000000" w:rsidP="00000000" w:rsidRDefault="00000000" w:rsidRPr="00000000" w14:paraId="00000119">
    <w:pPr>
      <w:tabs>
        <w:tab w:val="center" w:leader="none" w:pos="4536"/>
        <w:tab w:val="right" w:leader="none" w:pos="9072"/>
      </w:tabs>
      <w:spacing w:line="240" w:lineRule="auto"/>
      <w:jc w:val="right"/>
      <w:rPr>
        <w:rFonts w:ascii="Tahoma" w:cs="Tahoma" w:eastAsia="Tahoma" w:hAnsi="Tahoma"/>
        <w:sz w:val="16"/>
        <w:szCs w:val="16"/>
      </w:rPr>
    </w:pPr>
    <w:r w:rsidDel="00000000" w:rsidR="00000000" w:rsidRPr="00000000">
      <w:rPr>
        <w:rFonts w:ascii="Tahoma" w:cs="Tahoma" w:eastAsia="Tahoma" w:hAnsi="Tahoma"/>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A">
    <w:pPr>
      <w:tabs>
        <w:tab w:val="center" w:leader="none" w:pos="4536"/>
        <w:tab w:val="right" w:leader="none" w:pos="9072"/>
      </w:tabs>
      <w:spacing w:line="240" w:lineRule="auto"/>
      <w:rPr>
        <w:rFonts w:ascii="Tahoma" w:cs="Tahoma" w:eastAsia="Tahoma" w:hAnsi="Tahoma"/>
        <w:sz w:val="14"/>
        <w:szCs w:val="14"/>
      </w:rPr>
    </w:pPr>
    <w:r w:rsidDel="00000000" w:rsidR="00000000" w:rsidRPr="00000000">
      <w:rPr>
        <w:rtl w:val="0"/>
      </w:rPr>
    </w:r>
  </w:p>
  <w:p w:rsidR="00000000" w:rsidDel="00000000" w:rsidP="00000000" w:rsidRDefault="00000000" w:rsidRPr="00000000" w14:paraId="0000011B">
    <w:pPr>
      <w:tabs>
        <w:tab w:val="center" w:leader="none" w:pos="4536"/>
        <w:tab w:val="right" w:leader="none" w:pos="9072"/>
      </w:tabs>
      <w:spacing w:line="240" w:lineRule="auto"/>
      <w:rPr>
        <w:rFonts w:ascii="Tahoma" w:cs="Tahoma" w:eastAsia="Tahoma" w:hAnsi="Tahoma"/>
        <w:sz w:val="14"/>
        <w:szCs w:val="1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536"/>
        <w:tab w:val="right" w:leader="none" w:pos="9072"/>
      </w:tabs>
      <w:spacing w:line="240" w:lineRule="auto"/>
      <w:jc w:val="right"/>
      <w:rPr>
        <w:color w:val="000000"/>
      </w:rPr>
    </w:pPr>
    <w:r w:rsidDel="00000000" w:rsidR="00000000" w:rsidRPr="00000000">
      <w:rPr/>
      <w:drawing>
        <wp:anchor allowOverlap="1" behindDoc="0" distB="0" distT="0" distL="0" distR="0" hidden="0" layoutInCell="1" locked="0" relativeHeight="0" simplePos="0">
          <wp:simplePos x="0" y="0"/>
          <wp:positionH relativeFrom="page">
            <wp:posOffset>6664650</wp:posOffset>
          </wp:positionH>
          <wp:positionV relativeFrom="page">
            <wp:posOffset>38100</wp:posOffset>
          </wp:positionV>
          <wp:extent cx="972329" cy="891302"/>
          <wp:effectExtent b="0" l="0" r="0" t="0"/>
          <wp:wrapSquare wrapText="bothSides" distB="0" distT="0" distL="0" distR="0"/>
          <wp:docPr id="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rot="16200000">
                    <a:off x="0" y="0"/>
                    <a:ext cx="972329" cy="891302"/>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spacing w:line="259" w:lineRule="auto"/>
      <w:rPr/>
    </w:pPr>
    <w:r w:rsidDel="00000000" w:rsidR="00000000" w:rsidRPr="00000000">
      <w:rPr/>
      <w:drawing>
        <wp:anchor allowOverlap="1" behindDoc="0" distB="0" distT="0" distL="0" distR="0" hidden="0" layoutInCell="1" locked="0" relativeHeight="0" simplePos="0">
          <wp:simplePos x="0" y="0"/>
          <wp:positionH relativeFrom="page">
            <wp:posOffset>6648450</wp:posOffset>
          </wp:positionH>
          <wp:positionV relativeFrom="page">
            <wp:posOffset>31682</wp:posOffset>
          </wp:positionV>
          <wp:extent cx="972329" cy="891302"/>
          <wp:effectExtent b="0" l="0" r="0" t="0"/>
          <wp:wrapNone/>
          <wp:docPr id="27" name="image2.png"/>
          <a:graphic>
            <a:graphicData uri="http://schemas.openxmlformats.org/drawingml/2006/picture">
              <pic:pic>
                <pic:nvPicPr>
                  <pic:cNvPr id="0" name="image2.png"/>
                  <pic:cNvPicPr preferRelativeResize="0"/>
                </pic:nvPicPr>
                <pic:blipFill>
                  <a:blip r:embed="rId1"/>
                  <a:srcRect b="5318" l="0" r="0" t="-5318"/>
                  <a:stretch>
                    <a:fillRect/>
                  </a:stretch>
                </pic:blipFill>
                <pic:spPr>
                  <a:xfrm rot="16200000">
                    <a:off x="0" y="0"/>
                    <a:ext cx="972329" cy="891302"/>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-200021</wp:posOffset>
          </wp:positionH>
          <wp:positionV relativeFrom="paragraph">
            <wp:posOffset>-163577</wp:posOffset>
          </wp:positionV>
          <wp:extent cx="1760220" cy="374015"/>
          <wp:effectExtent b="0" l="0" r="0" t="0"/>
          <wp:wrapSquare wrapText="bothSides" distB="0" distT="0" distL="114300" distR="114300"/>
          <wp:docPr id="25"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760220" cy="374015"/>
                  </a:xfrm>
                  <a:prstGeom prst="rect"/>
                  <a:ln/>
                </pic:spPr>
              </pic:pic>
            </a:graphicData>
          </a:graphic>
        </wp:anchor>
      </w:drawing>
    </w:r>
  </w:p>
  <w:p w:rsidR="00000000" w:rsidDel="00000000" w:rsidP="00000000" w:rsidRDefault="00000000" w:rsidRPr="00000000" w14:paraId="00000115">
    <w:pPr>
      <w:spacing w:line="259" w:lineRule="auto"/>
      <w:rPr/>
    </w:pPr>
    <w:r w:rsidDel="00000000" w:rsidR="00000000" w:rsidRPr="00000000">
      <w:rPr>
        <w:rtl w:val="0"/>
      </w:rPr>
    </w:r>
  </w:p>
  <w:p w:rsidR="00000000" w:rsidDel="00000000" w:rsidP="00000000" w:rsidRDefault="00000000" w:rsidRPr="00000000" w14:paraId="00000116">
    <w:pPr>
      <w:spacing w:line="259"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850.3937007874017" w:hanging="359.9999999999996"/>
      </w:pPr>
      <w:rPr>
        <w:rFonts w:ascii="Arial" w:cs="Arial" w:eastAsia="Arial" w:hAnsi="Arial"/>
      </w:rPr>
    </w:lvl>
    <w:lvl w:ilvl="1">
      <w:start w:val="1"/>
      <w:numFmt w:val="bullet"/>
      <w:lvlText w:val="○"/>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w:cs="Noto Sans" w:eastAsia="Noto Sans" w:hAnsi="Noto Sans"/>
        <w:sz w:val="22"/>
        <w:szCs w:val="22"/>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sz w:val="22"/>
        <w:szCs w:val="22"/>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sz w:val="22"/>
        <w:szCs w:val="22"/>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en_GB"/>
      </w:rPr>
    </w:rPrDefault>
    <w:pPrDefault>
      <w:pPr>
        <w:spacing w:after="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Rule="auto"/>
    </w:pPr>
    <w:rPr>
      <w:b w:val="1"/>
      <w:color w:val="036287"/>
      <w:sz w:val="30"/>
      <w:szCs w:val="30"/>
    </w:rPr>
  </w:style>
  <w:style w:type="paragraph" w:styleId="Heading2">
    <w:name w:val="heading 2"/>
    <w:basedOn w:val="Normal"/>
    <w:next w:val="Normal"/>
    <w:pPr>
      <w:keepNext w:val="1"/>
      <w:keepLines w:val="1"/>
      <w:spacing w:after="200" w:lineRule="auto"/>
    </w:pPr>
    <w:rPr>
      <w:b w:val="1"/>
      <w:color w:val="036287"/>
      <w:sz w:val="26"/>
      <w:szCs w:val="26"/>
    </w:rPr>
  </w:style>
  <w:style w:type="paragraph" w:styleId="Heading3">
    <w:name w:val="heading 3"/>
    <w:basedOn w:val="Normal"/>
    <w:next w:val="Normal"/>
    <w:pPr>
      <w:keepNext w:val="1"/>
      <w:keepLines w:val="1"/>
      <w:ind w:left="2160" w:hanging="360"/>
    </w:pPr>
    <w:rPr>
      <w:rFonts w:ascii="Tahoma" w:cs="Tahoma" w:eastAsia="Tahoma" w:hAnsi="Tahoma"/>
      <w:color w:val="036287"/>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line="240" w:lineRule="auto"/>
      <w:jc w:val="center"/>
    </w:pPr>
    <w:rPr>
      <w:rFonts w:ascii="Tahoma" w:cs="Tahoma" w:eastAsia="Tahoma" w:hAnsi="Tahoma"/>
      <w:b w:val="1"/>
      <w:color w:val="036287"/>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240" w:lineRule="auto"/>
      <w:ind w:left="720" w:hanging="360"/>
      <w:jc w:val="both"/>
    </w:pPr>
    <w:rPr>
      <w:rFonts w:ascii="Tahoma" w:cs="Tahoma" w:eastAsia="Tahoma" w:hAnsi="Tahoma"/>
      <w:b w:val="1"/>
      <w:color w:val="036287"/>
      <w:sz w:val="30"/>
      <w:szCs w:val="30"/>
    </w:rPr>
  </w:style>
  <w:style w:type="paragraph" w:styleId="Heading2">
    <w:name w:val="heading 2"/>
    <w:basedOn w:val="Normal"/>
    <w:next w:val="Normal"/>
    <w:pPr>
      <w:keepNext w:val="1"/>
      <w:keepLines w:val="1"/>
    </w:pPr>
    <w:rPr>
      <w:rFonts w:ascii="Tahoma" w:cs="Tahoma" w:eastAsia="Tahoma" w:hAnsi="Tahoma"/>
      <w:b w:val="1"/>
      <w:color w:val="036287"/>
      <w:sz w:val="26"/>
      <w:szCs w:val="26"/>
    </w:rPr>
  </w:style>
  <w:style w:type="paragraph" w:styleId="Heading3">
    <w:name w:val="heading 3"/>
    <w:basedOn w:val="Normal"/>
    <w:next w:val="Normal"/>
    <w:pPr>
      <w:keepNext w:val="1"/>
      <w:keepLines w:val="1"/>
      <w:ind w:left="2160" w:hanging="360"/>
    </w:pPr>
    <w:rPr>
      <w:rFonts w:ascii="Tahoma" w:cs="Tahoma" w:eastAsia="Tahoma" w:hAnsi="Tahoma"/>
      <w:color w:val="036287"/>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line="240" w:lineRule="auto"/>
      <w:jc w:val="center"/>
    </w:pPr>
    <w:rPr>
      <w:rFonts w:ascii="Tahoma" w:cs="Tahoma" w:eastAsia="Tahoma" w:hAnsi="Tahoma"/>
      <w:b w:val="1"/>
      <w:color w:val="036287"/>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240" w:lineRule="auto"/>
      <w:ind w:left="720" w:hanging="360"/>
      <w:jc w:val="both"/>
    </w:pPr>
    <w:rPr>
      <w:rFonts w:ascii="Tahoma" w:cs="Tahoma" w:eastAsia="Tahoma" w:hAnsi="Tahoma"/>
      <w:b w:val="1"/>
      <w:color w:val="036287"/>
      <w:sz w:val="30"/>
      <w:szCs w:val="30"/>
    </w:rPr>
  </w:style>
  <w:style w:type="paragraph" w:styleId="Heading2">
    <w:name w:val="heading 2"/>
    <w:basedOn w:val="Normal"/>
    <w:next w:val="Normal"/>
    <w:pPr>
      <w:keepNext w:val="1"/>
      <w:keepLines w:val="1"/>
    </w:pPr>
    <w:rPr>
      <w:rFonts w:ascii="Tahoma" w:cs="Tahoma" w:eastAsia="Tahoma" w:hAnsi="Tahoma"/>
      <w:b w:val="1"/>
      <w:color w:val="036287"/>
      <w:sz w:val="26"/>
      <w:szCs w:val="26"/>
    </w:rPr>
  </w:style>
  <w:style w:type="paragraph" w:styleId="Heading3">
    <w:name w:val="heading 3"/>
    <w:basedOn w:val="Normal"/>
    <w:next w:val="Normal"/>
    <w:pPr>
      <w:keepNext w:val="1"/>
      <w:keepLines w:val="1"/>
      <w:ind w:left="2160" w:hanging="360"/>
    </w:pPr>
    <w:rPr>
      <w:rFonts w:ascii="Tahoma" w:cs="Tahoma" w:eastAsia="Tahoma" w:hAnsi="Tahoma"/>
      <w:color w:val="036287"/>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line="240" w:lineRule="auto"/>
      <w:jc w:val="center"/>
    </w:pPr>
    <w:rPr>
      <w:rFonts w:ascii="Tahoma" w:cs="Tahoma" w:eastAsia="Tahoma" w:hAnsi="Tahoma"/>
      <w:b w:val="1"/>
      <w:color w:val="036287"/>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240" w:lineRule="auto"/>
      <w:ind w:left="720" w:hanging="360"/>
      <w:jc w:val="both"/>
    </w:pPr>
    <w:rPr>
      <w:rFonts w:ascii="Tahoma" w:cs="Tahoma" w:eastAsia="Tahoma" w:hAnsi="Tahoma"/>
      <w:b w:val="1"/>
      <w:color w:val="036287"/>
      <w:sz w:val="30"/>
      <w:szCs w:val="30"/>
    </w:rPr>
  </w:style>
  <w:style w:type="paragraph" w:styleId="Heading2">
    <w:name w:val="heading 2"/>
    <w:basedOn w:val="Normal"/>
    <w:next w:val="Normal"/>
    <w:pPr>
      <w:keepNext w:val="1"/>
      <w:keepLines w:val="1"/>
    </w:pPr>
    <w:rPr>
      <w:rFonts w:ascii="Tahoma" w:cs="Tahoma" w:eastAsia="Tahoma" w:hAnsi="Tahoma"/>
      <w:b w:val="1"/>
      <w:color w:val="036287"/>
      <w:sz w:val="26"/>
      <w:szCs w:val="26"/>
    </w:rPr>
  </w:style>
  <w:style w:type="paragraph" w:styleId="Heading3">
    <w:name w:val="heading 3"/>
    <w:basedOn w:val="Normal"/>
    <w:next w:val="Normal"/>
    <w:pPr>
      <w:keepNext w:val="1"/>
      <w:keepLines w:val="1"/>
      <w:ind w:left="2160" w:hanging="360"/>
    </w:pPr>
    <w:rPr>
      <w:rFonts w:ascii="Tahoma" w:cs="Tahoma" w:eastAsia="Tahoma" w:hAnsi="Tahoma"/>
      <w:color w:val="036287"/>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line="240" w:lineRule="auto"/>
      <w:jc w:val="center"/>
    </w:pPr>
    <w:rPr>
      <w:rFonts w:ascii="Tahoma" w:cs="Tahoma" w:eastAsia="Tahoma" w:hAnsi="Tahoma"/>
      <w:b w:val="1"/>
      <w:color w:val="036287"/>
      <w:sz w:val="36"/>
      <w:szCs w:val="36"/>
    </w:rPr>
  </w:style>
  <w:style w:type="paragraph" w:styleId="Subtitle">
    <w:name w:val="Subtitle"/>
    <w:basedOn w:val="Normal"/>
    <w:next w:val="Normal"/>
    <w:pPr>
      <w:keepNext w:val="1"/>
      <w:keepLines w:val="1"/>
      <w:spacing w:line="240" w:lineRule="auto"/>
      <w:jc w:val="center"/>
    </w:pPr>
    <w:rPr>
      <w:rFonts w:ascii="Tahoma" w:cs="Tahoma" w:eastAsia="Tahoma" w:hAnsi="Tahoma"/>
      <w:b w:val="1"/>
      <w:color w:val="036287"/>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120" w:before="120" w:line="240" w:lineRule="auto"/>
      <w:jc w:val="both"/>
    </w:pPr>
    <w:rPr>
      <w:rFonts w:ascii="Times New Roman" w:cs="Times New Roman" w:eastAsia="Times New Roman" w:hAnsi="Times New Roman"/>
      <w:b w:val="0"/>
      <w:i w:val="0"/>
      <w:color w:val="000000"/>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pPr>
      <w:spacing w:after="120" w:before="120" w:line="240" w:lineRule="auto"/>
      <w:jc w:val="both"/>
    </w:pPr>
    <w:rPr>
      <w:rFonts w:ascii="Times New Roman" w:cs="Times New Roman" w:eastAsia="Times New Roman" w:hAnsi="Times New Roman"/>
      <w:b w:val="0"/>
      <w:i w:val="0"/>
      <w:color w:val="000000"/>
      <w:sz w:val="20"/>
      <w:szCs w:val="20"/>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line="240" w:lineRule="auto"/>
      <w:jc w:val="center"/>
    </w:pPr>
    <w:rPr>
      <w:rFonts w:ascii="Tahoma" w:cs="Tahoma" w:eastAsia="Tahoma" w:hAnsi="Tahoma"/>
      <w:b w:val="1"/>
      <w:color w:val="036287"/>
      <w:sz w:val="30"/>
      <w:szCs w:val="30"/>
    </w:rPr>
  </w:style>
  <w:style w:type="table" w:styleId="Table1">
    <w:basedOn w:val="TableNormal"/>
    <w:pPr>
      <w:spacing w:after="120" w:before="120" w:line="240" w:lineRule="auto"/>
      <w:jc w:val="both"/>
    </w:pPr>
    <w:rPr>
      <w:rFonts w:ascii="Times New Roman" w:cs="Times New Roman" w:eastAsia="Times New Roman" w:hAnsi="Times New Roman"/>
      <w:b w:val="0"/>
      <w:i w:val="0"/>
      <w:color w:val="000000"/>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after="120" w:before="120" w:line="240" w:lineRule="auto"/>
      <w:jc w:val="both"/>
    </w:pPr>
    <w:rPr>
      <w:rFonts w:ascii="Times New Roman" w:cs="Times New Roman" w:eastAsia="Times New Roman" w:hAnsi="Times New Roman"/>
      <w:b w:val="0"/>
      <w:i w:val="0"/>
      <w:color w:val="000000"/>
      <w:sz w:val="20"/>
      <w:szCs w:val="20"/>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pPr>
      <w:spacing w:after="120" w:before="120" w:line="240" w:lineRule="auto"/>
      <w:jc w:val="both"/>
    </w:pPr>
    <w:rPr>
      <w:rFonts w:ascii="Times New Roman" w:cs="Times New Roman" w:eastAsia="Times New Roman" w:hAnsi="Times New Roman"/>
      <w:b w:val="0"/>
      <w:i w:val="0"/>
      <w:color w:val="000000"/>
      <w:sz w:val="20"/>
      <w:szCs w:val="20"/>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line="240" w:lineRule="auto"/>
      <w:jc w:val="center"/>
    </w:pPr>
    <w:rPr>
      <w:rFonts w:ascii="Tahoma" w:cs="Tahoma" w:eastAsia="Tahoma" w:hAnsi="Tahoma"/>
      <w:b w:val="1"/>
      <w:color w:val="036287"/>
      <w:sz w:val="30"/>
      <w:szCs w:val="30"/>
    </w:rPr>
  </w:style>
  <w:style w:type="table" w:styleId="Table1">
    <w:basedOn w:val="TableNormal"/>
    <w:pPr>
      <w:spacing w:after="120" w:before="120" w:line="240" w:lineRule="auto"/>
      <w:jc w:val="both"/>
    </w:pPr>
    <w:rPr>
      <w:rFonts w:ascii="Times New Roman" w:cs="Times New Roman" w:eastAsia="Times New Roman" w:hAnsi="Times New Roman"/>
      <w:b w:val="0"/>
      <w:i w:val="0"/>
      <w:color w:val="000000"/>
      <w:sz w:val="20"/>
      <w:szCs w:val="20"/>
    </w:rPr>
    <w:tblPr>
      <w:tblStyleRowBandSize w:val="1"/>
      <w:tblStyleColBandSize w:val="1"/>
      <w:tblCellMar>
        <w:top w:w="0.0" w:type="dxa"/>
        <w:left w:w="115.0" w:type="dxa"/>
        <w:bottom w:w="0.0" w:type="dxa"/>
        <w:right w:w="115.0" w:type="dxa"/>
      </w:tblCellMar>
    </w:tblPr>
    <w:tcPr>
      <w:shd w:fill="auto" w:val="clear"/>
    </w:tcPr>
  </w:style>
  <w:style w:type="paragraph" w:styleId="Subtitle">
    <w:name w:val="Subtitle"/>
    <w:basedOn w:val="Normal"/>
    <w:next w:val="Normal"/>
    <w:pPr>
      <w:keepNext w:val="1"/>
      <w:keepLines w:val="1"/>
      <w:spacing w:line="240" w:lineRule="auto"/>
      <w:jc w:val="center"/>
    </w:pPr>
    <w:rPr>
      <w:rFonts w:ascii="Tahoma" w:cs="Tahoma" w:eastAsia="Tahoma" w:hAnsi="Tahoma"/>
      <w:b w:val="1"/>
      <w:color w:val="036287"/>
      <w:sz w:val="30"/>
      <w:szCs w:val="30"/>
    </w:rPr>
  </w:style>
  <w:style w:type="table" w:styleId="Table1">
    <w:basedOn w:val="TableNormal"/>
    <w:pPr>
      <w:spacing w:after="120" w:before="120" w:line="240" w:lineRule="auto"/>
      <w:jc w:val="both"/>
    </w:pPr>
    <w:rPr>
      <w:rFonts w:ascii="Times New Roman" w:cs="Times New Roman" w:eastAsia="Times New Roman" w:hAnsi="Times New Roman"/>
      <w:b w:val="0"/>
      <w:i w:val="0"/>
      <w:color w:val="000000"/>
      <w:sz w:val="20"/>
      <w:szCs w:val="20"/>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health-data-hub.fr/catalogue-de-donnees/tarpon-traitement-automatique-des-resumes-de-passages-aux-urgences-pour-un" TargetMode="External"/><Relationship Id="rId22" Type="http://schemas.openxmlformats.org/officeDocument/2006/relationships/hyperlink" Target="https://www.health-data-hub.fr/sites/default/files/2022-07/HDH%20Reglement%20financier%20modalites%20attribution%20financements.pdf" TargetMode="External"/><Relationship Id="rId21" Type="http://schemas.openxmlformats.org/officeDocument/2006/relationships/hyperlink" Target="https://www.demarches-simplifiees.fr/" TargetMode="External"/><Relationship Id="rId24" Type="http://schemas.openxmlformats.org/officeDocument/2006/relationships/header" Target="header2.xml"/><Relationship Id="rId23" Type="http://schemas.openxmlformats.org/officeDocument/2006/relationships/hyperlink" Target="https://www.health-data-hub.fr/sites/default/files/2022-07/HDH%20Reglement%20financier%20modalites%20attribution%20financement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health-data-hub.fr/catalogue-de-donnees" TargetMode="External"/><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catalogue@health-data-hub.fr" TargetMode="External"/><Relationship Id="rId11" Type="http://schemas.openxmlformats.org/officeDocument/2006/relationships/hyperlink" Target="https://www.health-data-hub.fr/catalogue-de-donnees" TargetMode="External"/><Relationship Id="rId10" Type="http://schemas.openxmlformats.org/officeDocument/2006/relationships/hyperlink" Target="https://www.health-data-hub.fr/catalogue-de-donnees" TargetMode="External"/><Relationship Id="rId13" Type="http://schemas.openxmlformats.org/officeDocument/2006/relationships/hyperlink" Target="https://www.health-data-hub.fr/catalogue-de-donnees/bndmr-banque-nationale-de-donnees-maladies-rares" TargetMode="External"/><Relationship Id="rId12" Type="http://schemas.openxmlformats.org/officeDocument/2006/relationships/hyperlink" Target="https://www.health-data-hub.fr/catalogue-de-donnees/atuc-cbpc-autorisation-temporaire-dutilisation-atu-de-cohorte-en-oncologie" TargetMode="External"/><Relationship Id="rId15" Type="http://schemas.openxmlformats.org/officeDocument/2006/relationships/hyperlink" Target="https://www.health-data-hub.fr/catalogue-de-donnees/esme-csm-epidemio-strategie-medico-economique-cancer-du-sein-metastatique" TargetMode="External"/><Relationship Id="rId14" Type="http://schemas.openxmlformats.org/officeDocument/2006/relationships/hyperlink" Target="https://www.health-data-hub.fr/catalogue-de-donnees/e-sis-base-de-donnees-du-depistage-organise-du-cancer-du-sein-docs-du-gard-et" TargetMode="External"/><Relationship Id="rId17" Type="http://schemas.openxmlformats.org/officeDocument/2006/relationships/hyperlink" Target="https://www.health-data-hub.fr/catalogue-de-donnees/memento-determinants-and-evolution-alzheimers-disease-and-related-disorders" TargetMode="External"/><Relationship Id="rId16" Type="http://schemas.openxmlformats.org/officeDocument/2006/relationships/hyperlink" Target="https://health-data-hub.fr/catalogue-de-donnees/isis-sante-reproductive-des-femmes-apres-cancer-du-sein" TargetMode="External"/><Relationship Id="rId19" Type="http://schemas.openxmlformats.org/officeDocument/2006/relationships/hyperlink" Target="https://health-data-hub.fr/catalogue-de-donnees/p4dp-platform-data-primary-care" TargetMode="External"/><Relationship Id="rId18" Type="http://schemas.openxmlformats.org/officeDocument/2006/relationships/hyperlink" Target="https://www.health-data-hub.fr/catalogue-de-donnees/oscour-organisation-de-la-surveillance-coordonnee-des-urgen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ZR9QBHxeQmbhhQz8kD5sG7YuHg==">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