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after="120" w:before="400" w:line="240" w:lineRule="auto"/>
        <w:ind w:right="139" w:hanging="2"/>
        <w:jc w:val="center"/>
        <w:rPr>
          <w:rFonts w:ascii="Tahoma" w:cs="Tahoma" w:eastAsia="Tahoma" w:hAnsi="Tahoma"/>
          <w:b w:val="1"/>
          <w:sz w:val="28"/>
          <w:szCs w:val="28"/>
        </w:rPr>
      </w:pPr>
      <w:bookmarkStart w:colFirst="0" w:colLast="0" w:name="_heading=h.gjdgxs" w:id="0"/>
      <w:bookmarkEnd w:id="0"/>
      <w:r w:rsidDel="00000000" w:rsidR="00000000" w:rsidRPr="00000000">
        <w:rPr>
          <w:rFonts w:ascii="Tahoma" w:cs="Tahoma" w:eastAsia="Tahoma" w:hAnsi="Tahoma"/>
          <w:b w:val="1"/>
          <w:sz w:val="36"/>
          <w:szCs w:val="36"/>
          <w:rtl w:val="0"/>
        </w:rPr>
        <w:t xml:space="preserve">FICHE DESCRIPTIVE DE LA BASE DE DONNÉES PROPOSÉE POUR LE CATALOGUE</w:t>
      </w:r>
      <w:r w:rsidDel="00000000" w:rsidR="00000000" w:rsidRPr="00000000">
        <w:rPr>
          <w:rtl w:val="0"/>
        </w:rPr>
      </w:r>
    </w:p>
    <w:p w:rsidR="00000000" w:rsidDel="00000000" w:rsidP="00000000" w:rsidRDefault="00000000" w:rsidRPr="00000000" w14:paraId="00000002">
      <w:pPr>
        <w:spacing w:line="240" w:lineRule="auto"/>
        <w:ind w:right="139" w:hanging="2"/>
        <w:jc w:val="both"/>
        <w:rPr>
          <w:rFonts w:ascii="Tahoma" w:cs="Tahoma" w:eastAsia="Tahoma" w:hAnsi="Tahoma"/>
        </w:rPr>
      </w:pPr>
      <w:r w:rsidDel="00000000" w:rsidR="00000000" w:rsidRPr="00000000">
        <w:rPr>
          <w:rtl w:val="0"/>
        </w:rPr>
      </w:r>
    </w:p>
    <w:p w:rsidR="00000000" w:rsidDel="00000000" w:rsidP="00000000" w:rsidRDefault="00000000" w:rsidRPr="00000000" w14:paraId="00000003">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4">
      <w:pPr>
        <w:spacing w:line="240" w:lineRule="auto"/>
        <w:rPr>
          <w:rFonts w:ascii="Tahoma" w:cs="Tahoma" w:eastAsia="Tahoma" w:hAnsi="Tahoma"/>
          <w:sz w:val="24"/>
          <w:szCs w:val="24"/>
        </w:rPr>
      </w:pPr>
      <w:r w:rsidDel="00000000" w:rsidR="00000000" w:rsidRPr="00000000">
        <w:rPr>
          <w:rtl w:val="0"/>
        </w:rPr>
      </w:r>
    </w:p>
    <w:tbl>
      <w:tblPr>
        <w:tblStyle w:val="Table1"/>
        <w:tblW w:w="9046.0" w:type="dxa"/>
        <w:jc w:val="left"/>
        <w:tblLayout w:type="fixed"/>
        <w:tblLook w:val="0400"/>
      </w:tblPr>
      <w:tblGrid>
        <w:gridCol w:w="9046"/>
        <w:tblGridChange w:id="0">
          <w:tblGrid>
            <w:gridCol w:w="9046"/>
          </w:tblGrid>
        </w:tblGridChange>
      </w:tblGrid>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line="240" w:lineRule="auto"/>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Notice de complétion</w:t>
            </w: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sz w:val="24"/>
                <w:szCs w:val="24"/>
                <w:rtl w:val="0"/>
              </w:rPr>
              <w:t xml:space="preserve">Fiche descriptive visant à être complétée par le responsable de données lors de sa candidature à son inscription au catalogue du SNDS.</w:t>
            </w: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sz w:val="24"/>
                <w:szCs w:val="24"/>
                <w:rtl w:val="0"/>
              </w:rPr>
              <w:t xml:space="preserve">Destinataires : les membres du comité stratégique des données de Santé ; les experts externes sollicités pour l’évaluation de l’intérêt de la base et potentiellement la CNIL.</w:t>
            </w:r>
            <w:r w:rsidDel="00000000" w:rsidR="00000000" w:rsidRPr="00000000">
              <w:rPr>
                <w:rtl w:val="0"/>
              </w:rPr>
            </w:r>
          </w:p>
        </w:tc>
      </w:tr>
      <w:tr>
        <w:trPr>
          <w:cantSplit w:val="0"/>
          <w:trHeight w:val="1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Informations générales</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Tahoma" w:cs="Tahoma" w:eastAsia="Tahoma" w:hAnsi="Tahoma"/>
              </w:rPr>
            </w:pPr>
            <w:r w:rsidDel="00000000" w:rsidR="00000000" w:rsidRPr="00000000">
              <w:rPr>
                <w:rFonts w:ascii="Tahoma" w:cs="Tahoma" w:eastAsia="Tahoma" w:hAnsi="Tahoma"/>
                <w:sz w:val="24"/>
                <w:szCs w:val="24"/>
                <w:rtl w:val="0"/>
              </w:rPr>
              <w:t xml:space="preserve">Nom de la personne ayant complété la fiche :  </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Tahoma" w:cs="Tahoma" w:eastAsia="Tahoma" w:hAnsi="Tahoma"/>
              </w:rPr>
            </w:pPr>
            <w:r w:rsidDel="00000000" w:rsidR="00000000" w:rsidRPr="00000000">
              <w:rPr>
                <w:rFonts w:ascii="Tahoma" w:cs="Tahoma" w:eastAsia="Tahoma" w:hAnsi="Tahoma"/>
                <w:sz w:val="24"/>
                <w:szCs w:val="24"/>
                <w:rtl w:val="0"/>
              </w:rPr>
              <w:t xml:space="preserve">Base : </w:t>
            </w:r>
            <w:r w:rsidDel="00000000" w:rsidR="00000000" w:rsidRPr="00000000">
              <w:rPr>
                <w:rFonts w:ascii="Tahoma" w:cs="Tahoma" w:eastAsia="Tahoma" w:hAnsi="Tahoma"/>
                <w:sz w:val="24"/>
                <w:szCs w:val="24"/>
                <w:shd w:fill="d9ead3" w:val="clear"/>
                <w:rtl w:val="0"/>
              </w:rPr>
              <w:t xml:space="preserve"> &lt;XXX&gt;</w:t>
            </w: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Tahoma" w:cs="Tahoma" w:eastAsia="Tahoma" w:hAnsi="Tahoma"/>
              </w:rPr>
            </w:pPr>
            <w:r w:rsidDel="00000000" w:rsidR="00000000" w:rsidRPr="00000000">
              <w:rPr>
                <w:rFonts w:ascii="Tahoma" w:cs="Tahoma" w:eastAsia="Tahoma" w:hAnsi="Tahoma"/>
                <w:sz w:val="24"/>
                <w:szCs w:val="24"/>
                <w:rtl w:val="0"/>
              </w:rPr>
              <w:t xml:space="preserve">Date de complétude : </w:t>
            </w:r>
            <w:r w:rsidDel="00000000" w:rsidR="00000000" w:rsidRPr="00000000">
              <w:rPr>
                <w:rFonts w:ascii="Tahoma" w:cs="Tahoma" w:eastAsia="Tahoma" w:hAnsi="Tahoma"/>
                <w:sz w:val="24"/>
                <w:szCs w:val="24"/>
                <w:shd w:fill="d9ead3" w:val="clear"/>
                <w:rtl w:val="0"/>
              </w:rPr>
              <w:t xml:space="preserve">&lt;JJ/MM/AAAA&gt;</w:t>
            </w:r>
            <w:r w:rsidDel="00000000" w:rsidR="00000000" w:rsidRPr="00000000">
              <w:rPr>
                <w:rtl w:val="0"/>
              </w:rPr>
            </w:r>
          </w:p>
        </w:tc>
      </w:tr>
    </w:tbl>
    <w:p w:rsidR="00000000" w:rsidDel="00000000" w:rsidP="00000000" w:rsidRDefault="00000000" w:rsidRPr="00000000" w14:paraId="0000000C">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D">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E">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F">
      <w:pPr>
        <w:spacing w:line="240" w:lineRule="auto"/>
        <w:ind w:right="139" w:hanging="2"/>
        <w:jc w:val="both"/>
        <w:rPr>
          <w:rFonts w:ascii="Tahoma" w:cs="Tahoma" w:eastAsia="Tahoma" w:hAnsi="Tahoma"/>
        </w:rPr>
      </w:pPr>
      <w:r w:rsidDel="00000000" w:rsidR="00000000" w:rsidRPr="00000000">
        <w:rPr>
          <w:rtl w:val="0"/>
        </w:rPr>
      </w:r>
    </w:p>
    <w:tbl>
      <w:tblPr>
        <w:tblStyle w:val="Table2"/>
        <w:tblW w:w="9975.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2250"/>
        <w:gridCol w:w="3015"/>
        <w:gridCol w:w="2805"/>
        <w:tblGridChange w:id="0">
          <w:tblGrid>
            <w:gridCol w:w="1905"/>
            <w:gridCol w:w="2250"/>
            <w:gridCol w:w="3015"/>
            <w:gridCol w:w="2805"/>
          </w:tblGrid>
        </w:tblGridChange>
      </w:tblGrid>
      <w:tr>
        <w:trPr>
          <w:cantSplit w:val="0"/>
          <w:trHeight w:val="420" w:hRule="atLeast"/>
          <w:tblHeader w:val="0"/>
        </w:trPr>
        <w:tc>
          <w:tcPr>
            <w:gridSpan w:val="2"/>
            <w:tcBorders>
              <w:top w:color="000000" w:space="0" w:sz="12" w:val="single"/>
              <w:left w:color="000000" w:space="0" w:sz="12" w:val="single"/>
              <w:bottom w:color="000000" w:space="0" w:sz="12" w:val="single"/>
              <w:right w:color="000000" w:space="0" w:sz="12" w:val="single"/>
            </w:tcBorders>
            <w:shd w:fill="b7b7b7" w:val="clear"/>
            <w:tcMar>
              <w:top w:w="100.0" w:type="dxa"/>
              <w:left w:w="100.0" w:type="dxa"/>
              <w:bottom w:w="100.0" w:type="dxa"/>
              <w:right w:w="100.0" w:type="dxa"/>
            </w:tcMar>
            <w:vAlign w:val="bottom"/>
          </w:tcPr>
          <w:p w:rsidR="00000000" w:rsidDel="00000000" w:rsidP="00000000" w:rsidRDefault="00000000" w:rsidRPr="00000000" w14:paraId="00000010">
            <w:pPr>
              <w:widowControl w:val="0"/>
              <w:spacing w:line="240" w:lineRule="auto"/>
              <w:ind w:right="139" w:hanging="2"/>
              <w:jc w:val="center"/>
              <w:rPr>
                <w:rFonts w:ascii="Tahoma" w:cs="Tahoma" w:eastAsia="Tahoma" w:hAnsi="Tahoma"/>
                <w:b w:val="1"/>
              </w:rPr>
            </w:pPr>
            <w:r w:rsidDel="00000000" w:rsidR="00000000" w:rsidRPr="00000000">
              <w:rPr>
                <w:rFonts w:ascii="Tahoma" w:cs="Tahoma" w:eastAsia="Tahoma" w:hAnsi="Tahoma"/>
                <w:b w:val="1"/>
                <w:rtl w:val="0"/>
              </w:rPr>
              <w:t xml:space="preserve">Information</w:t>
            </w:r>
          </w:p>
        </w:tc>
        <w:tc>
          <w:tcPr>
            <w:tcBorders>
              <w:top w:color="000000" w:space="0" w:sz="12" w:val="single"/>
              <w:left w:color="000000" w:space="0" w:sz="12" w:val="single"/>
              <w:bottom w:color="000000" w:space="0" w:sz="12" w:val="single"/>
              <w:right w:color="000000" w:space="0" w:sz="12" w:val="single"/>
            </w:tcBorders>
            <w:shd w:fill="b7b7b7" w:val="clear"/>
            <w:tcMar>
              <w:top w:w="100.0" w:type="dxa"/>
              <w:left w:w="100.0" w:type="dxa"/>
              <w:bottom w:w="100.0" w:type="dxa"/>
              <w:right w:w="100.0" w:type="dxa"/>
            </w:tcMar>
            <w:vAlign w:val="bottom"/>
          </w:tcPr>
          <w:p w:rsidR="00000000" w:rsidDel="00000000" w:rsidP="00000000" w:rsidRDefault="00000000" w:rsidRPr="00000000" w14:paraId="00000012">
            <w:pPr>
              <w:widowControl w:val="0"/>
              <w:spacing w:line="240" w:lineRule="auto"/>
              <w:ind w:right="139" w:hanging="2"/>
              <w:jc w:val="center"/>
              <w:rPr>
                <w:rFonts w:ascii="Tahoma" w:cs="Tahoma" w:eastAsia="Tahoma" w:hAnsi="Tahoma"/>
                <w:b w:val="1"/>
              </w:rPr>
            </w:pPr>
            <w:r w:rsidDel="00000000" w:rsidR="00000000" w:rsidRPr="00000000">
              <w:rPr>
                <w:rFonts w:ascii="Tahoma" w:cs="Tahoma" w:eastAsia="Tahoma" w:hAnsi="Tahoma"/>
                <w:b w:val="1"/>
                <w:rtl w:val="0"/>
              </w:rPr>
              <w:t xml:space="preserve">Format attendu</w:t>
            </w:r>
          </w:p>
        </w:tc>
        <w:tc>
          <w:tcPr>
            <w:tcBorders>
              <w:top w:color="000000" w:space="0" w:sz="12" w:val="single"/>
              <w:left w:color="000000" w:space="0" w:sz="12" w:val="single"/>
              <w:bottom w:color="000000" w:space="0" w:sz="12" w:val="single"/>
              <w:right w:color="000000" w:space="0" w:sz="12" w:val="single"/>
            </w:tcBorders>
            <w:shd w:fill="b7b7b7" w:val="clear"/>
            <w:tcMar>
              <w:top w:w="100.0" w:type="dxa"/>
              <w:left w:w="100.0" w:type="dxa"/>
              <w:bottom w:w="100.0" w:type="dxa"/>
              <w:right w:w="100.0" w:type="dxa"/>
            </w:tcMar>
            <w:vAlign w:val="bottom"/>
          </w:tcPr>
          <w:p w:rsidR="00000000" w:rsidDel="00000000" w:rsidP="00000000" w:rsidRDefault="00000000" w:rsidRPr="00000000" w14:paraId="00000013">
            <w:pPr>
              <w:widowControl w:val="0"/>
              <w:spacing w:line="240" w:lineRule="auto"/>
              <w:ind w:right="139" w:hanging="2"/>
              <w:jc w:val="center"/>
              <w:rPr>
                <w:rFonts w:ascii="Tahoma" w:cs="Tahoma" w:eastAsia="Tahoma" w:hAnsi="Tahoma"/>
                <w:b w:val="1"/>
              </w:rPr>
            </w:pPr>
            <w:r w:rsidDel="00000000" w:rsidR="00000000" w:rsidRPr="00000000">
              <w:rPr>
                <w:rFonts w:ascii="Tahoma" w:cs="Tahoma" w:eastAsia="Tahoma" w:hAnsi="Tahoma"/>
                <w:b w:val="1"/>
                <w:rtl w:val="0"/>
              </w:rPr>
              <w:t xml:space="preserve">Contenu à renseigner</w:t>
            </w:r>
          </w:p>
        </w:tc>
      </w:tr>
      <w:tr>
        <w:trPr>
          <w:cantSplit w:val="0"/>
          <w:trHeight w:val="4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Identification de la base</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Titre abrégé</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Format textuel libre, nom abrégé de la base apparaissant dans le répertoire du catalogue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ind w:right="55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Titre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Format textuel libre, nom complet de la base apparaissant dans la fiche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Sourcing</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Moyens d’identification de la base : demande du responsable de données, demande des membres du Costrat…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Identification du Responsable de données</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Organisme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Nom de l’organisme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Adresse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Adresse postale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Nom du représentant légal</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right="139" w:hanging="2"/>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Numéro de SIRET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ind w:right="139" w:hanging="2"/>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Site internet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URL</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Responsable scientifique</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Prénom et NOM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Prénom NOM</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Coordonnées de contact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Adresse mail professionnelle individuelle ou générique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Gouvernance</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Comitologie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Existence d’un comité de pilotage. Si oui, rôle et composition.</w:t>
            </w:r>
          </w:p>
          <w:p w:rsidR="00000000" w:rsidDel="00000000" w:rsidP="00000000" w:rsidRDefault="00000000" w:rsidRPr="00000000" w14:paraId="0000003F">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Existence d’un comité scientifique. Si oui, rôle et composition.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Financement</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Modalités de financement de la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Indiquez quelles sont les sources de financements, précisez si elles sont publiques ou privées et le pourcentage associé. Précisez si elles sont pérennes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sz w:val="20"/>
                <w:szCs w:val="20"/>
              </w:rPr>
            </w:pPr>
            <w:r w:rsidDel="00000000" w:rsidR="00000000" w:rsidRPr="00000000">
              <w:rPr>
                <w:rFonts w:ascii="Tahoma" w:cs="Tahoma" w:eastAsia="Tahoma" w:hAnsi="Tahoma"/>
                <w:b w:val="1"/>
                <w:sz w:val="20"/>
                <w:szCs w:val="20"/>
                <w:rtl w:val="0"/>
              </w:rPr>
              <w:t xml:space="preserve">Valorisation scientifique de la base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Publications scientifiques existantes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Liste des publications scientifiques d’intérêt présentant la base de données ou utilisant les données de la base sans collecte supplémentaire - 10 max</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b w:val="1"/>
                <w:sz w:val="20"/>
                <w:szCs w:val="20"/>
                <w:rtl w:val="0"/>
              </w:rPr>
              <w:t xml:space="preserve">Autres types de valorisation</w:t>
            </w:r>
            <w:r w:rsidDel="00000000" w:rsidR="00000000" w:rsidRPr="00000000">
              <w:rPr>
                <w:rtl w:val="0"/>
              </w:rPr>
            </w:r>
          </w:p>
          <w:p w:rsidR="00000000" w:rsidDel="00000000" w:rsidP="00000000" w:rsidRDefault="00000000" w:rsidRPr="00000000" w14:paraId="0000004B">
            <w:pPr>
              <w:widowControl w:val="0"/>
              <w:spacing w:line="240" w:lineRule="auto"/>
              <w:ind w:right="139" w:hanging="2"/>
              <w:rPr>
                <w:rFonts w:ascii="Tahoma" w:cs="Tahoma" w:eastAsia="Tahoma" w:hAnsi="Tahoma"/>
                <w:b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Lister les autres types de valorisation existantes pour la base (rapport annuels, développement de dispositif médical, brevets…)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ind w:right="-5.787401574803113"/>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Caractéristiques des données </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Type de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Catégorie : </w:t>
            </w:r>
          </w:p>
          <w:p w:rsidR="00000000" w:rsidDel="00000000" w:rsidP="00000000" w:rsidRDefault="00000000" w:rsidRPr="00000000" w14:paraId="00000051">
            <w:pPr>
              <w:widowControl w:val="0"/>
              <w:numPr>
                <w:ilvl w:val="0"/>
                <w:numId w:val="6"/>
              </w:numPr>
              <w:spacing w:line="240" w:lineRule="auto"/>
              <w:ind w:left="283"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Bases de données administratives pertinentes pour la santé</w:t>
            </w:r>
          </w:p>
          <w:p w:rsidR="00000000" w:rsidDel="00000000" w:rsidP="00000000" w:rsidRDefault="00000000" w:rsidRPr="00000000" w14:paraId="00000052">
            <w:pPr>
              <w:widowControl w:val="0"/>
              <w:numPr>
                <w:ilvl w:val="0"/>
                <w:numId w:val="6"/>
              </w:numPr>
              <w:spacing w:line="240" w:lineRule="auto"/>
              <w:ind w:left="283"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Registres de morbidité</w:t>
            </w:r>
          </w:p>
          <w:p w:rsidR="00000000" w:rsidDel="00000000" w:rsidP="00000000" w:rsidRDefault="00000000" w:rsidRPr="00000000" w14:paraId="00000053">
            <w:pPr>
              <w:widowControl w:val="0"/>
              <w:numPr>
                <w:ilvl w:val="0"/>
                <w:numId w:val="6"/>
              </w:numPr>
              <w:spacing w:line="240" w:lineRule="auto"/>
              <w:ind w:left="283"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Bases de données issues d’enquêtes</w:t>
            </w:r>
          </w:p>
          <w:p w:rsidR="00000000" w:rsidDel="00000000" w:rsidP="00000000" w:rsidRDefault="00000000" w:rsidRPr="00000000" w14:paraId="00000054">
            <w:pPr>
              <w:widowControl w:val="0"/>
              <w:numPr>
                <w:ilvl w:val="1"/>
                <w:numId w:val="6"/>
              </w:numPr>
              <w:spacing w:line="240" w:lineRule="auto"/>
              <w:ind w:left="850"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Études cas-témoins</w:t>
            </w:r>
          </w:p>
          <w:p w:rsidR="00000000" w:rsidDel="00000000" w:rsidP="00000000" w:rsidRDefault="00000000" w:rsidRPr="00000000" w14:paraId="00000055">
            <w:pPr>
              <w:widowControl w:val="0"/>
              <w:numPr>
                <w:ilvl w:val="1"/>
                <w:numId w:val="6"/>
              </w:numPr>
              <w:spacing w:line="240" w:lineRule="auto"/>
              <w:ind w:left="850"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Études de cohortes</w:t>
            </w:r>
          </w:p>
          <w:p w:rsidR="00000000" w:rsidDel="00000000" w:rsidP="00000000" w:rsidRDefault="00000000" w:rsidRPr="00000000" w14:paraId="00000056">
            <w:pPr>
              <w:widowControl w:val="0"/>
              <w:numPr>
                <w:ilvl w:val="1"/>
                <w:numId w:val="6"/>
              </w:numPr>
              <w:spacing w:line="240" w:lineRule="auto"/>
              <w:ind w:left="850"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Études longitudinales (hors cohortes)</w:t>
            </w:r>
          </w:p>
          <w:p w:rsidR="00000000" w:rsidDel="00000000" w:rsidP="00000000" w:rsidRDefault="00000000" w:rsidRPr="00000000" w14:paraId="00000057">
            <w:pPr>
              <w:widowControl w:val="0"/>
              <w:numPr>
                <w:ilvl w:val="1"/>
                <w:numId w:val="6"/>
              </w:numPr>
              <w:spacing w:line="240" w:lineRule="auto"/>
              <w:ind w:left="850"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Études transversales non répétées (hors enquêtes cas-témoins)</w:t>
            </w:r>
          </w:p>
          <w:p w:rsidR="00000000" w:rsidDel="00000000" w:rsidP="00000000" w:rsidRDefault="00000000" w:rsidRPr="00000000" w14:paraId="00000058">
            <w:pPr>
              <w:widowControl w:val="0"/>
              <w:numPr>
                <w:ilvl w:val="1"/>
                <w:numId w:val="6"/>
              </w:numPr>
              <w:spacing w:line="240" w:lineRule="auto"/>
              <w:ind w:left="850" w:right="139" w:hanging="283"/>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Études transversales répétées (hors enquêtes cas-témoins)</w:t>
            </w:r>
          </w:p>
          <w:p w:rsidR="00000000" w:rsidDel="00000000" w:rsidP="00000000" w:rsidRDefault="00000000" w:rsidRPr="00000000" w14:paraId="00000059">
            <w:pPr>
              <w:widowControl w:val="0"/>
              <w:numPr>
                <w:ilvl w:val="0"/>
                <w:numId w:val="6"/>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Données issues d’entrepôts de données hospitalières</w:t>
            </w:r>
          </w:p>
          <w:p w:rsidR="00000000" w:rsidDel="00000000" w:rsidP="00000000" w:rsidRDefault="00000000" w:rsidRPr="00000000" w14:paraId="0000005A">
            <w:pPr>
              <w:widowControl w:val="0"/>
              <w:numPr>
                <w:ilvl w:val="0"/>
                <w:numId w:val="6"/>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Données issues de dispositifs médicaux connectés </w:t>
            </w:r>
          </w:p>
          <w:p w:rsidR="00000000" w:rsidDel="00000000" w:rsidP="00000000" w:rsidRDefault="00000000" w:rsidRPr="00000000" w14:paraId="0000005B">
            <w:pPr>
              <w:widowControl w:val="0"/>
              <w:numPr>
                <w:ilvl w:val="0"/>
                <w:numId w:val="6"/>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Autres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Objectif initial de la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Contexte de la collecte des données</w:t>
            </w:r>
          </w:p>
          <w:p w:rsidR="00000000" w:rsidDel="00000000" w:rsidP="00000000" w:rsidRDefault="00000000" w:rsidRPr="00000000" w14:paraId="00000060">
            <w:pPr>
              <w:widowControl w:val="0"/>
              <w:spacing w:line="240" w:lineRule="auto"/>
              <w:ind w:right="139" w:hanging="2"/>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61">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Préciser le contexte de la création de la base et la question scientifique à laquelle on souhaite répondre initialement grâce à cette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Domaine clinique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Catégories :</w:t>
            </w:r>
          </w:p>
          <w:p w:rsidR="00000000" w:rsidDel="00000000" w:rsidP="00000000" w:rsidRDefault="00000000" w:rsidRPr="00000000" w14:paraId="00000066">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Allergologie</w:t>
            </w:r>
          </w:p>
          <w:p w:rsidR="00000000" w:rsidDel="00000000" w:rsidP="00000000" w:rsidRDefault="00000000" w:rsidRPr="00000000" w14:paraId="00000067">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Anatomie Cytologie</w:t>
            </w:r>
          </w:p>
          <w:p w:rsidR="00000000" w:rsidDel="00000000" w:rsidP="00000000" w:rsidRDefault="00000000" w:rsidRPr="00000000" w14:paraId="00000068">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Anesthésiologie-Réanimation</w:t>
            </w:r>
          </w:p>
          <w:p w:rsidR="00000000" w:rsidDel="00000000" w:rsidP="00000000" w:rsidRDefault="00000000" w:rsidRPr="00000000" w14:paraId="00000069">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Biologie</w:t>
            </w:r>
          </w:p>
          <w:p w:rsidR="00000000" w:rsidDel="00000000" w:rsidP="00000000" w:rsidRDefault="00000000" w:rsidRPr="00000000" w14:paraId="0000006A">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Cancérologie</w:t>
            </w:r>
          </w:p>
          <w:p w:rsidR="00000000" w:rsidDel="00000000" w:rsidP="00000000" w:rsidRDefault="00000000" w:rsidRPr="00000000" w14:paraId="0000006B">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Cardiologie</w:t>
            </w:r>
          </w:p>
          <w:p w:rsidR="00000000" w:rsidDel="00000000" w:rsidP="00000000" w:rsidRDefault="00000000" w:rsidRPr="00000000" w14:paraId="0000006C">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Déficiences et handicaps</w:t>
            </w:r>
          </w:p>
          <w:p w:rsidR="00000000" w:rsidDel="00000000" w:rsidP="00000000" w:rsidRDefault="00000000" w:rsidRPr="00000000" w14:paraId="0000006D">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Dermatologie</w:t>
            </w:r>
          </w:p>
          <w:p w:rsidR="00000000" w:rsidDel="00000000" w:rsidP="00000000" w:rsidRDefault="00000000" w:rsidRPr="00000000" w14:paraId="0000006E">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vénérologie</w:t>
            </w:r>
          </w:p>
          <w:p w:rsidR="00000000" w:rsidDel="00000000" w:rsidP="00000000" w:rsidRDefault="00000000" w:rsidRPr="00000000" w14:paraId="0000006F">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Endocrinologie et métabolisme</w:t>
            </w:r>
          </w:p>
          <w:p w:rsidR="00000000" w:rsidDel="00000000" w:rsidP="00000000" w:rsidRDefault="00000000" w:rsidRPr="00000000" w14:paraId="00000070">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Gastro-entérologie et hépatologie</w:t>
            </w:r>
          </w:p>
          <w:p w:rsidR="00000000" w:rsidDel="00000000" w:rsidP="00000000" w:rsidRDefault="00000000" w:rsidRPr="00000000" w14:paraId="00000071">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Gériatrie</w:t>
            </w:r>
          </w:p>
          <w:p w:rsidR="00000000" w:rsidDel="00000000" w:rsidP="00000000" w:rsidRDefault="00000000" w:rsidRPr="00000000" w14:paraId="00000072">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Gynécologie obstétrique</w:t>
            </w:r>
          </w:p>
          <w:p w:rsidR="00000000" w:rsidDel="00000000" w:rsidP="00000000" w:rsidRDefault="00000000" w:rsidRPr="00000000" w14:paraId="00000073">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Hématologie</w:t>
            </w:r>
          </w:p>
          <w:p w:rsidR="00000000" w:rsidDel="00000000" w:rsidP="00000000" w:rsidRDefault="00000000" w:rsidRPr="00000000" w14:paraId="00000074">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Immunologie</w:t>
            </w:r>
          </w:p>
          <w:p w:rsidR="00000000" w:rsidDel="00000000" w:rsidP="00000000" w:rsidRDefault="00000000" w:rsidRPr="00000000" w14:paraId="00000075">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Maladies infectieuses</w:t>
            </w:r>
          </w:p>
          <w:p w:rsidR="00000000" w:rsidDel="00000000" w:rsidP="00000000" w:rsidRDefault="00000000" w:rsidRPr="00000000" w14:paraId="00000076">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Maladies rares</w:t>
            </w:r>
          </w:p>
          <w:p w:rsidR="00000000" w:rsidDel="00000000" w:rsidP="00000000" w:rsidRDefault="00000000" w:rsidRPr="00000000" w14:paraId="00000077">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Médecine d’urgence</w:t>
            </w:r>
          </w:p>
          <w:p w:rsidR="00000000" w:rsidDel="00000000" w:rsidP="00000000" w:rsidRDefault="00000000" w:rsidRPr="00000000" w14:paraId="00000078">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Médecine du travail</w:t>
            </w:r>
          </w:p>
          <w:p w:rsidR="00000000" w:rsidDel="00000000" w:rsidP="00000000" w:rsidRDefault="00000000" w:rsidRPr="00000000" w14:paraId="00000079">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Médecine générale</w:t>
            </w:r>
          </w:p>
          <w:p w:rsidR="00000000" w:rsidDel="00000000" w:rsidP="00000000" w:rsidRDefault="00000000" w:rsidRPr="00000000" w14:paraId="0000007A">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Médecine interne</w:t>
            </w:r>
          </w:p>
          <w:p w:rsidR="00000000" w:rsidDel="00000000" w:rsidP="00000000" w:rsidRDefault="00000000" w:rsidRPr="00000000" w14:paraId="0000007B">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Médecine nucléaire</w:t>
            </w:r>
          </w:p>
          <w:p w:rsidR="00000000" w:rsidDel="00000000" w:rsidP="00000000" w:rsidRDefault="00000000" w:rsidRPr="00000000" w14:paraId="0000007C">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Médecine physique et de réadaptation</w:t>
            </w:r>
          </w:p>
          <w:p w:rsidR="00000000" w:rsidDel="00000000" w:rsidP="00000000" w:rsidRDefault="00000000" w:rsidRPr="00000000" w14:paraId="0000007D">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Neurologie</w:t>
            </w:r>
          </w:p>
          <w:p w:rsidR="00000000" w:rsidDel="00000000" w:rsidP="00000000" w:rsidRDefault="00000000" w:rsidRPr="00000000" w14:paraId="0000007E">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Odontologie</w:t>
            </w:r>
          </w:p>
          <w:p w:rsidR="00000000" w:rsidDel="00000000" w:rsidP="00000000" w:rsidRDefault="00000000" w:rsidRPr="00000000" w14:paraId="0000007F">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Ophtalmologie</w:t>
            </w:r>
          </w:p>
          <w:p w:rsidR="00000000" w:rsidDel="00000000" w:rsidP="00000000" w:rsidRDefault="00000000" w:rsidRPr="00000000" w14:paraId="00000080">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Oto-rhino-laryngologie</w:t>
            </w:r>
          </w:p>
          <w:p w:rsidR="00000000" w:rsidDel="00000000" w:rsidP="00000000" w:rsidRDefault="00000000" w:rsidRPr="00000000" w14:paraId="00000081">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Pédiatrie</w:t>
            </w:r>
          </w:p>
          <w:p w:rsidR="00000000" w:rsidDel="00000000" w:rsidP="00000000" w:rsidRDefault="00000000" w:rsidRPr="00000000" w14:paraId="00000082">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Pneumologie</w:t>
            </w:r>
          </w:p>
          <w:p w:rsidR="00000000" w:rsidDel="00000000" w:rsidP="00000000" w:rsidRDefault="00000000" w:rsidRPr="00000000" w14:paraId="00000083">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Psychologie et psychiatrie</w:t>
            </w:r>
          </w:p>
          <w:p w:rsidR="00000000" w:rsidDel="00000000" w:rsidP="00000000" w:rsidRDefault="00000000" w:rsidRPr="00000000" w14:paraId="00000084">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Radiologie et imagerie médicale</w:t>
            </w:r>
          </w:p>
          <w:p w:rsidR="00000000" w:rsidDel="00000000" w:rsidP="00000000" w:rsidRDefault="00000000" w:rsidRPr="00000000" w14:paraId="00000085">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Rhumatologie</w:t>
            </w:r>
          </w:p>
          <w:p w:rsidR="00000000" w:rsidDel="00000000" w:rsidP="00000000" w:rsidRDefault="00000000" w:rsidRPr="00000000" w14:paraId="00000086">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Traumatologie</w:t>
            </w:r>
          </w:p>
          <w:p w:rsidR="00000000" w:rsidDel="00000000" w:rsidP="00000000" w:rsidRDefault="00000000" w:rsidRPr="00000000" w14:paraId="00000087">
            <w:pPr>
              <w:widowControl w:val="0"/>
              <w:numPr>
                <w:ilvl w:val="0"/>
                <w:numId w:val="5"/>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Urologie, andrologie et néphrologie</w:t>
            </w:r>
          </w:p>
          <w:p w:rsidR="00000000" w:rsidDel="00000000" w:rsidP="00000000" w:rsidRDefault="00000000" w:rsidRPr="00000000" w14:paraId="00000088">
            <w:pPr>
              <w:widowControl w:val="0"/>
              <w:numPr>
                <w:ilvl w:val="0"/>
                <w:numId w:val="5"/>
              </w:numPr>
              <w:spacing w:line="240" w:lineRule="auto"/>
              <w:ind w:left="283.4645669291342" w:right="139" w:hanging="283.4645669291342"/>
              <w:rPr>
                <w:i w:val="1"/>
                <w:sz w:val="18"/>
                <w:szCs w:val="18"/>
              </w:rPr>
            </w:pPr>
            <w:r w:rsidDel="00000000" w:rsidR="00000000" w:rsidRPr="00000000">
              <w:rPr>
                <w:rFonts w:ascii="Tahoma" w:cs="Tahoma" w:eastAsia="Tahoma" w:hAnsi="Tahoma"/>
                <w:i w:val="1"/>
                <w:sz w:val="20"/>
                <w:szCs w:val="20"/>
                <w:rtl w:val="0"/>
              </w:rPr>
              <w:t xml:space="preserve">Autre : texte libre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Périmètre des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Description des données contenues et périmètre disponible sur le catalogue du HDH. Décrire le nombre de tables et de variables par table.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Population d’intérêt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Population dont les données sont contenues dans la base mise au catalogue du HDH</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ind w:right="139"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Par ex : patients fréquentant un service d'urgences avec ou sans hospitalisation</w:t>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Effectif</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Effectif à la date de renseignement mis à disposition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Géographie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Périmètre géographique concerné par la base mise au catalogue du HDH et niveau géographique le plus précis sur les participants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ind w:right="139"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Par ex : Toute la France. Commune = niveau le plus précis </w:t>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Profondeur historique (première année disponible)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Année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Dernière année disponible (fraîcheur des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Année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Mise à jour</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Collecte active + fréquence de mise à jour </w:t>
            </w:r>
            <w:r w:rsidDel="00000000" w:rsidR="00000000" w:rsidRPr="00000000">
              <w:rPr>
                <w:rFonts w:ascii="Tahoma" w:cs="Tahoma" w:eastAsia="Tahoma" w:hAnsi="Tahoma"/>
                <w:i w:val="1"/>
                <w:sz w:val="20"/>
                <w:szCs w:val="20"/>
                <w:u w:val="single"/>
                <w:rtl w:val="0"/>
              </w:rPr>
              <w:t xml:space="preserve">ou</w:t>
            </w:r>
            <w:r w:rsidDel="00000000" w:rsidR="00000000" w:rsidRPr="00000000">
              <w:rPr>
                <w:rFonts w:ascii="Tahoma" w:cs="Tahoma" w:eastAsia="Tahoma" w:hAnsi="Tahoma"/>
                <w:i w:val="1"/>
                <w:sz w:val="20"/>
                <w:szCs w:val="20"/>
                <w:rtl w:val="0"/>
              </w:rPr>
              <w:t xml:space="preserve"> collecte terminée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Catégories de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Catégories (</w:t>
            </w:r>
            <w:r w:rsidDel="00000000" w:rsidR="00000000" w:rsidRPr="00000000">
              <w:rPr>
                <w:rFonts w:ascii="Tahoma" w:cs="Tahoma" w:eastAsia="Tahoma" w:hAnsi="Tahoma"/>
                <w:i w:val="1"/>
                <w:sz w:val="20"/>
                <w:szCs w:val="20"/>
                <w:highlight w:val="white"/>
                <w:rtl w:val="0"/>
              </w:rPr>
              <w:t xml:space="preserve">Article R1461-4 : </w:t>
            </w:r>
            <w:hyperlink r:id="rId8">
              <w:r w:rsidDel="00000000" w:rsidR="00000000" w:rsidRPr="00000000">
                <w:rPr>
                  <w:rFonts w:ascii="Tahoma" w:cs="Tahoma" w:eastAsia="Tahoma" w:hAnsi="Tahoma"/>
                  <w:i w:val="1"/>
                  <w:sz w:val="20"/>
                  <w:szCs w:val="20"/>
                  <w:u w:val="single"/>
                  <w:rtl w:val="0"/>
                </w:rPr>
                <w:t xml:space="preserve">https://www.legifrance.gouv.fr/codes/article_lc/LEGIARTI000043723411</w:t>
              </w:r>
            </w:hyperlink>
            <w:r w:rsidDel="00000000" w:rsidR="00000000" w:rsidRPr="00000000">
              <w:rPr>
                <w:rFonts w:ascii="Tahoma" w:cs="Tahoma" w:eastAsia="Tahoma" w:hAnsi="Tahoma"/>
                <w:i w:val="1"/>
                <w:sz w:val="20"/>
                <w:szCs w:val="20"/>
                <w:rtl w:val="0"/>
              </w:rPr>
              <w:t xml:space="preserve">) :</w:t>
            </w:r>
          </w:p>
          <w:p w:rsidR="00000000" w:rsidDel="00000000" w:rsidP="00000000" w:rsidRDefault="00000000" w:rsidRPr="00000000" w14:paraId="000000A9">
            <w:pPr>
              <w:widowControl w:val="0"/>
              <w:numPr>
                <w:ilvl w:val="0"/>
                <w:numId w:val="4"/>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relatives aux bénéficiaires de soins et de prestations médico-sociales ; </w:t>
            </w:r>
            <w:r w:rsidDel="00000000" w:rsidR="00000000" w:rsidRPr="00000000">
              <w:rPr>
                <w:rtl w:val="0"/>
              </w:rPr>
            </w:r>
          </w:p>
          <w:p w:rsidR="00000000" w:rsidDel="00000000" w:rsidP="00000000" w:rsidRDefault="00000000" w:rsidRPr="00000000" w14:paraId="000000AA">
            <w:pPr>
              <w:widowControl w:val="0"/>
              <w:numPr>
                <w:ilvl w:val="0"/>
                <w:numId w:val="4"/>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relatives aux organismes d'assurance maladie obligatoire et, s'il y a lieu, aux organismes d'assurance maladie complémentaire intervenant dans la prise en charge financière du bénéficiaire des soins et prestations ; </w:t>
            </w:r>
            <w:r w:rsidDel="00000000" w:rsidR="00000000" w:rsidRPr="00000000">
              <w:rPr>
                <w:rtl w:val="0"/>
              </w:rPr>
            </w:r>
          </w:p>
          <w:p w:rsidR="00000000" w:rsidDel="00000000" w:rsidP="00000000" w:rsidRDefault="00000000" w:rsidRPr="00000000" w14:paraId="000000AB">
            <w:pPr>
              <w:widowControl w:val="0"/>
              <w:numPr>
                <w:ilvl w:val="0"/>
                <w:numId w:val="4"/>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relatives à la prise en charge sanitaire, médico-sociale et financière associées à chaque bénéficiaire ; </w:t>
            </w:r>
            <w:r w:rsidDel="00000000" w:rsidR="00000000" w:rsidRPr="00000000">
              <w:rPr>
                <w:rtl w:val="0"/>
              </w:rPr>
            </w:r>
          </w:p>
          <w:p w:rsidR="00000000" w:rsidDel="00000000" w:rsidP="00000000" w:rsidRDefault="00000000" w:rsidRPr="00000000" w14:paraId="000000AC">
            <w:pPr>
              <w:widowControl w:val="0"/>
              <w:numPr>
                <w:ilvl w:val="0"/>
                <w:numId w:val="4"/>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relatives  aux  professionnels  et  services  de  santé  intervenant  dans  la  prise  en  charge  des  bénéficiaires ; </w:t>
            </w:r>
            <w:r w:rsidDel="00000000" w:rsidR="00000000" w:rsidRPr="00000000">
              <w:rPr>
                <w:rtl w:val="0"/>
              </w:rPr>
            </w:r>
          </w:p>
          <w:p w:rsidR="00000000" w:rsidDel="00000000" w:rsidP="00000000" w:rsidRDefault="00000000" w:rsidRPr="00000000" w14:paraId="000000AD">
            <w:pPr>
              <w:widowControl w:val="0"/>
              <w:numPr>
                <w:ilvl w:val="0"/>
                <w:numId w:val="4"/>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relatives à la santé, aux conditions sociales et environnementales, aux habitudes de vie et au contexte économique des personnes concernées  recueillies à l'occasion d'activité de prévention, de diagnostic, de soins ou de suivi médical ou médico-social ou d'une enquête dans le domaine de la santé ;</w:t>
            </w:r>
            <w:r w:rsidDel="00000000" w:rsidR="00000000" w:rsidRPr="00000000">
              <w:rPr>
                <w:rtl w:val="0"/>
              </w:rPr>
            </w:r>
          </w:p>
          <w:p w:rsidR="00000000" w:rsidDel="00000000" w:rsidP="00000000" w:rsidRDefault="00000000" w:rsidRPr="00000000" w14:paraId="000000AE">
            <w:pPr>
              <w:widowControl w:val="0"/>
              <w:numPr>
                <w:ilvl w:val="0"/>
                <w:numId w:val="4"/>
              </w:numPr>
              <w:spacing w:line="240" w:lineRule="auto"/>
              <w:ind w:left="283.4645669291342" w:right="139"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médico-sociales relatives à la situation des personnes en situation de handicap transmises à la Caisse nationale de solidarité pour l’autonomi dans le cadre du système d’information mentionné à l’article L.247-2 du code de l’action sociale et des familles ; </w:t>
            </w:r>
            <w:r w:rsidDel="00000000" w:rsidR="00000000" w:rsidRPr="00000000">
              <w:rPr>
                <w:rtl w:val="0"/>
              </w:rPr>
            </w:r>
          </w:p>
          <w:p w:rsidR="00000000" w:rsidDel="00000000" w:rsidP="00000000" w:rsidRDefault="00000000" w:rsidRPr="00000000" w14:paraId="000000AF">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pacing w:line="240" w:lineRule="auto"/>
              <w:ind w:left="283.4645669291342" w:right="140" w:hanging="283.464566929134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informations relatives aux arrêts de travail et aux prestations en espèces : les données relatives aux arrêts de travail, au versement  d'indemnités  journalières  pour  les  risques  maladie,  maternité, paternité,  accidents  du  travail  et  maladies professionnelles  et  au  versement  de  pensions  d'invalidité,  de  rentes  consécutives  à  un  accident  du  travail  ou  à  une  maladie professionnelle ou de capitaux décès.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ind w:right="139" w:hanging="2"/>
              <w:rPr>
                <w:rFonts w:ascii="Tahoma" w:cs="Tahoma" w:eastAsia="Tahoma" w:hAnsi="Tahoma"/>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Nature des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Information sur le niveau de structuration des données</w:t>
            </w:r>
          </w:p>
          <w:p w:rsidR="00000000" w:rsidDel="00000000" w:rsidP="00000000" w:rsidRDefault="00000000" w:rsidRPr="00000000" w14:paraId="000000B4">
            <w:pPr>
              <w:widowControl w:val="0"/>
              <w:spacing w:line="240" w:lineRule="auto"/>
              <w:ind w:right="139" w:hanging="2"/>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B5">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Ex. Données administratives ;</w:t>
            </w:r>
          </w:p>
          <w:p w:rsidR="00000000" w:rsidDel="00000000" w:rsidP="00000000" w:rsidRDefault="00000000" w:rsidRPr="00000000" w14:paraId="000000B6">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Données cliniques ; </w:t>
            </w:r>
          </w:p>
          <w:p w:rsidR="00000000" w:rsidDel="00000000" w:rsidP="00000000" w:rsidRDefault="00000000" w:rsidRPr="00000000" w14:paraId="000000B7">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Données d’imagerie ;</w:t>
            </w:r>
          </w:p>
          <w:p w:rsidR="00000000" w:rsidDel="00000000" w:rsidP="00000000" w:rsidRDefault="00000000" w:rsidRPr="00000000" w14:paraId="000000B8">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Données vidéo.</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ind w:right="139" w:hanging="2"/>
              <w:rPr>
                <w:rFonts w:ascii="Tahoma" w:cs="Tahoma" w:eastAsia="Tahoma" w:hAnsi="Tahoma"/>
                <w:sz w:val="20"/>
                <w:szCs w:val="20"/>
              </w:rPr>
            </w:pPr>
            <w:r w:rsidDel="00000000" w:rsidR="00000000" w:rsidRPr="00000000">
              <w:rPr>
                <w:rFonts w:ascii="Tahoma" w:cs="Tahoma" w:eastAsia="Tahoma" w:hAnsi="Tahoma"/>
                <w:sz w:val="20"/>
                <w:szCs w:val="20"/>
                <w:rtl w:val="0"/>
              </w:rPr>
              <w:t xml:space="preserve">Par ex : Données administratives structurées</w:t>
            </w:r>
          </w:p>
        </w:tc>
      </w:tr>
      <w:tr>
        <w:trPr>
          <w:cantSplit w:val="0"/>
          <w:trHeight w:val="440" w:hRule="atLeast"/>
          <w:tblHeader w:val="0"/>
        </w:trPr>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Source(s) de données/Origine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Dossiers médicaux ;</w:t>
            </w:r>
          </w:p>
          <w:p w:rsidR="00000000" w:rsidDel="00000000" w:rsidP="00000000" w:rsidRDefault="00000000" w:rsidRPr="00000000" w14:paraId="000000BD">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Dispositifs médicaux ;</w:t>
            </w:r>
          </w:p>
          <w:p w:rsidR="00000000" w:rsidDel="00000000" w:rsidP="00000000" w:rsidRDefault="00000000" w:rsidRPr="00000000" w14:paraId="000000BE">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Objets connectés (hors Dispositifs médicaux)</w:t>
            </w:r>
          </w:p>
          <w:p w:rsidR="00000000" w:rsidDel="00000000" w:rsidP="00000000" w:rsidRDefault="00000000" w:rsidRPr="00000000" w14:paraId="000000BF">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Questionnaires/Enquêtes</w:t>
            </w:r>
          </w:p>
          <w:p w:rsidR="00000000" w:rsidDel="00000000" w:rsidP="00000000" w:rsidRDefault="00000000" w:rsidRPr="00000000" w14:paraId="000000C0">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Entrepôt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ind w:right="139" w:hanging="2"/>
              <w:rPr>
                <w:rFonts w:ascii="Tahoma" w:cs="Tahoma" w:eastAsia="Tahoma" w:hAnsi="Tahoma"/>
                <w:sz w:val="20"/>
                <w:szCs w:val="20"/>
              </w:rPr>
            </w:pPr>
            <w:r w:rsidDel="00000000" w:rsidR="00000000" w:rsidRPr="00000000">
              <w:rPr>
                <w:rtl w:val="0"/>
              </w:rPr>
            </w:r>
          </w:p>
        </w:tc>
      </w:tr>
      <w:tr>
        <w:trPr>
          <w:cantSplit w:val="0"/>
          <w:trHeight w:val="44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Appariement</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Appariement déjà réalisé</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Indiquer si la base est déjà appariée avec la base principale du SNDS ou une autre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Appariement envisagé</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w:t>
            </w:r>
          </w:p>
          <w:p w:rsidR="00000000" w:rsidDel="00000000" w:rsidP="00000000" w:rsidRDefault="00000000" w:rsidRPr="00000000" w14:paraId="000000C9">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Indiquer si la base pourrait être appariée avec la base principale du SNDS. </w:t>
            </w:r>
          </w:p>
          <w:p w:rsidR="00000000" w:rsidDel="00000000" w:rsidP="00000000" w:rsidRDefault="00000000" w:rsidRPr="00000000" w14:paraId="000000CA">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Si oui,</w:t>
            </w:r>
          </w:p>
          <w:p w:rsidR="00000000" w:rsidDel="00000000" w:rsidP="00000000" w:rsidRDefault="00000000" w:rsidRPr="00000000" w14:paraId="000000CB">
            <w:pPr>
              <w:widowControl w:val="0"/>
              <w:numPr>
                <w:ilvl w:val="0"/>
                <w:numId w:val="3"/>
              </w:numPr>
              <w:spacing w:line="240" w:lineRule="auto"/>
              <w:ind w:left="708.6614173228347" w:right="139" w:hanging="360"/>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indiquer le type d'appariement possible ou souhaitable (direct avec NIR, direct avec reconstitution du NIR ou indirect), </w:t>
            </w:r>
          </w:p>
          <w:p w:rsidR="00000000" w:rsidDel="00000000" w:rsidP="00000000" w:rsidRDefault="00000000" w:rsidRPr="00000000" w14:paraId="000000CC">
            <w:pPr>
              <w:widowControl w:val="0"/>
              <w:numPr>
                <w:ilvl w:val="0"/>
                <w:numId w:val="3"/>
              </w:numPr>
              <w:spacing w:line="240" w:lineRule="auto"/>
              <w:ind w:left="708.6614173228347" w:right="139" w:hanging="360"/>
              <w:rPr/>
            </w:pPr>
            <w:r w:rsidDel="00000000" w:rsidR="00000000" w:rsidRPr="00000000">
              <w:rPr>
                <w:rFonts w:ascii="Tahoma" w:cs="Tahoma" w:eastAsia="Tahoma" w:hAnsi="Tahoma"/>
                <w:i w:val="1"/>
                <w:sz w:val="20"/>
                <w:szCs w:val="20"/>
                <w:rtl w:val="0"/>
              </w:rPr>
              <w:t xml:space="preserve">indiquer l’intérêt d’un appariement avec la base principale du SNDS (complémentarité, nouvelles études…)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vAlign w:val="center"/>
          </w:tcPr>
          <w:p w:rsidR="00000000" w:rsidDel="00000000" w:rsidP="00000000" w:rsidRDefault="00000000" w:rsidRPr="00000000" w14:paraId="000000CE">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Documentation de la base</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Dictionnaires de données et documentation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URL vers la documentation ou description du schéma de données pouvant être fournie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Référentiels, nomenclatures, standards utilisés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Lister les référentiels, nomenclatures ou standards utilisés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Programmes facilitant l’exploitation des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Lien vers le programme ou description de la documentation pouvant être fournie</w:t>
            </w:r>
          </w:p>
          <w:p w:rsidR="00000000" w:rsidDel="00000000" w:rsidP="00000000" w:rsidRDefault="00000000" w:rsidRPr="00000000" w14:paraId="000000D9">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Si possible, joindre la documentation en annexe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Qualité</w:t>
            </w:r>
            <w:r w:rsidDel="00000000" w:rsidR="00000000" w:rsidRPr="00000000">
              <w:rPr>
                <w:rFonts w:ascii="Tahoma" w:cs="Tahoma" w:eastAsia="Tahoma" w:hAnsi="Tahoma"/>
                <w:b w:val="1"/>
                <w:sz w:val="20"/>
                <w:szCs w:val="20"/>
                <w:vertAlign w:val="superscript"/>
              </w:rPr>
              <w:footnoteReference w:customMarkFollows="0" w:id="0"/>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Processus de collecte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Décrire la méthode de collecte des données, les processus humains ou automatiques intervenant dans le recueil, la collecte ou la saisie des données, leur prétraitement et les contrôles qualité.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Protocole formalisé pour standardiser la collecte lorsque la base est issue d’un recueil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Audits de qualité internes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Audits de qualité externes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Cahier des charges de data management décrivant le processus de mise en qualité des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Les modifications apportées aux données après la collecte sont-elles traçables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Accès à la fois aux données brutes et retravaillées (par exemple : nettoyage, recodage, etc.)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 / Non applicable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Indicateurs de qualité régulièrement calculés à partir des données collectées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Oui / Non</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Réglementaire </w:t>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Encadrement réglementaire de la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Indiquez l'autorisation propre à la base, indépendamment de la mise au catalogue.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Durée de conservation des données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Indiquer la durée notifiée dans la demande d’autorisation propre à la base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Modalités d’information des personnes concernées à ce jour</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Précisions sur les modalités d’information des personnes (individuelle ou non, papier, par email, application, etc) et le contenu (information sur la finalité initiale uniquement, la mise au catalogue, renvoi au site du HDH, etc.).</w:t>
            </w:r>
          </w:p>
          <w:p w:rsidR="00000000" w:rsidDel="00000000" w:rsidP="00000000" w:rsidRDefault="00000000" w:rsidRPr="00000000" w14:paraId="00000106">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Précisions sur les modalités de recueil des consentements des personnes concernées (le cas échéant)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Modalités d’information des personnes concernées prévues dans le cadre de la mise au catalogue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A">
            <w:pPr>
              <w:spacing w:line="240" w:lineRule="auto"/>
              <w:ind w:right="135"/>
              <w:rPr>
                <w:rFonts w:ascii="Tahoma" w:cs="Tahoma" w:eastAsia="Tahoma" w:hAnsi="Tahoma"/>
                <w:sz w:val="20"/>
                <w:szCs w:val="20"/>
              </w:rPr>
            </w:pPr>
            <w:r w:rsidDel="00000000" w:rsidR="00000000" w:rsidRPr="00000000">
              <w:rPr>
                <w:rFonts w:ascii="Tahoma" w:cs="Tahoma" w:eastAsia="Tahoma" w:hAnsi="Tahoma"/>
                <w:i w:val="1"/>
                <w:sz w:val="20"/>
                <w:szCs w:val="20"/>
                <w:rtl w:val="0"/>
              </w:rPr>
              <w:t xml:space="preserve">Texte libre. Précisions sur les modalités d’information des personnes (individuelle ou non, papier, par email, application, etc) et le contenu (information sur la finalité initiale uniquement, la mise au catalogue, renvoi au site du HDH, etc.).</w:t>
            </w:r>
            <w:r w:rsidDel="00000000" w:rsidR="00000000" w:rsidRPr="00000000">
              <w:rPr>
                <w:rFonts w:ascii="Tahoma" w:cs="Tahoma" w:eastAsia="Tahoma" w:hAnsi="Tahoma"/>
                <w:sz w:val="20"/>
                <w:szCs w:val="20"/>
                <w:rtl w:val="0"/>
              </w:rPr>
              <w:t xml:space="preserve"> </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r>
        <w:trPr>
          <w:cantSplit w:val="0"/>
          <w:trHeight w:val="44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i w:val="1"/>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ind w:right="139" w:hanging="2"/>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Exercice des droits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ind w:right="139" w:hanging="2"/>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Texte libre. Indiquer la procédure à suivre pour exercer ses droits.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ind w:right="139" w:hanging="2"/>
              <w:rPr>
                <w:rFonts w:ascii="Tahoma" w:cs="Tahoma" w:eastAsia="Tahoma" w:hAnsi="Tahoma"/>
                <w:i w:val="1"/>
                <w:sz w:val="20"/>
                <w:szCs w:val="20"/>
              </w:rPr>
            </w:pPr>
            <w:r w:rsidDel="00000000" w:rsidR="00000000" w:rsidRPr="00000000">
              <w:rPr>
                <w:rtl w:val="0"/>
              </w:rPr>
            </w:r>
          </w:p>
        </w:tc>
      </w:tr>
    </w:tbl>
    <w:p w:rsidR="00000000" w:rsidDel="00000000" w:rsidP="00000000" w:rsidRDefault="00000000" w:rsidRPr="00000000" w14:paraId="00000110">
      <w:pPr>
        <w:spacing w:after="160" w:line="240" w:lineRule="auto"/>
        <w:ind w:right="139"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160" w:line="240" w:lineRule="auto"/>
        <w:ind w:right="139" w:hanging="2"/>
        <w:jc w:val="both"/>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rFonts w:ascii="Tahoma" w:cs="Tahoma" w:eastAsia="Tahoma" w:hAnsi="Tahoma"/>
        <w:color w:val="000000"/>
      </w:rPr>
    </w:pPr>
    <w:r w:rsidDel="00000000" w:rsidR="00000000" w:rsidRPr="00000000">
      <w:rPr>
        <w:rFonts w:ascii="Tahoma" w:cs="Tahoma" w:eastAsia="Tahoma" w:hAnsi="Tahom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rFonts w:ascii="Tahoma" w:cs="Tahoma" w:eastAsia="Tahoma" w:hAnsi="Tahoma"/>
        <w:i w:val="1"/>
        <w:color w:val="000000"/>
        <w:sz w:val="18"/>
        <w:szCs w:val="18"/>
      </w:rPr>
    </w:pPr>
    <w:r w:rsidDel="00000000" w:rsidR="00000000" w:rsidRPr="00000000">
      <w:rPr>
        <w:rFonts w:ascii="Tahoma" w:cs="Tahoma" w:eastAsia="Tahoma" w:hAnsi="Tahoma"/>
        <w:i w:val="1"/>
        <w:sz w:val="18"/>
        <w:szCs w:val="18"/>
        <w:rtl w:val="0"/>
      </w:rPr>
      <w:t xml:space="preserve">Template Fiche descriptive de la base de données proposée pour le catalogue - 8 février 2022 - Version validée par le GT catalogue - MAJ oct. 2024</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Pour compléter cet item, nous vous conseillons de vous référer au questionnaire d’autoévaluation de la gestion de la qualité d’une base. Si vous le souhaitez, ce questionnaire peut être joint en annexe de cette fiche descriptive afin de compléter votre dossier.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08.6614173228347" w:hanging="360.000000000000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a" w:customStyle="1">
    <w:basedOn w:val="TableNormal5"/>
    <w:tblPr>
      <w:tblStyleRowBandSize w:val="1"/>
      <w:tblStyleColBandSize w:val="1"/>
      <w:tblCellMar>
        <w:top w:w="100.0" w:type="dxa"/>
        <w:left w:w="100.0" w:type="dxa"/>
        <w:bottom w:w="100.0" w:type="dxa"/>
        <w:right w:w="100.0" w:type="dxa"/>
      </w:tblCellMar>
    </w:tblPr>
  </w:style>
  <w:style w:type="table" w:styleId="a0" w:customStyle="1">
    <w:basedOn w:val="TableNormal5"/>
    <w:tblPr>
      <w:tblStyleRowBandSize w:val="1"/>
      <w:tblStyleColBandSize w:val="1"/>
      <w:tblCellMar>
        <w:left w:w="115.0" w:type="dxa"/>
        <w:right w:w="115.0" w:type="dxa"/>
      </w:tblCellMar>
    </w:tblPr>
  </w:style>
  <w:style w:type="table" w:styleId="a1" w:customStyle="1">
    <w:basedOn w:val="TableNormal5"/>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style>
  <w:style w:type="table" w:styleId="a3" w:customStyle="1">
    <w:basedOn w:val="TableNormal5"/>
    <w:rPr>
      <w:color w:val="000000"/>
    </w:rPr>
    <w:tblPr>
      <w:tblStyleRowBandSize w:val="1"/>
      <w:tblStyleColBandSize w:val="1"/>
      <w:tblCellMar>
        <w:top w:w="100.0" w:type="dxa"/>
        <w:left w:w="100.0" w:type="dxa"/>
        <w:bottom w:w="100.0" w:type="dxa"/>
        <w:right w:w="100.0" w:type="dxa"/>
      </w:tblCellMar>
    </w:tbl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En-tte">
    <w:name w:val="header"/>
    <w:basedOn w:val="Normal"/>
    <w:link w:val="En-tteCar"/>
    <w:uiPriority w:val="99"/>
    <w:unhideWhenUsed w:val="1"/>
    <w:rsid w:val="00A0670E"/>
    <w:pPr>
      <w:tabs>
        <w:tab w:val="center" w:pos="4536"/>
        <w:tab w:val="right" w:pos="9072"/>
      </w:tabs>
      <w:spacing w:line="240" w:lineRule="auto"/>
    </w:pPr>
  </w:style>
  <w:style w:type="character" w:styleId="En-tteCar" w:customStyle="1">
    <w:name w:val="En-tête Car"/>
    <w:basedOn w:val="Policepardfaut"/>
    <w:link w:val="En-tte"/>
    <w:uiPriority w:val="99"/>
    <w:rsid w:val="00A0670E"/>
  </w:style>
  <w:style w:type="paragraph" w:styleId="Pieddepage">
    <w:name w:val="footer"/>
    <w:basedOn w:val="Normal"/>
    <w:link w:val="PieddepageCar"/>
    <w:uiPriority w:val="99"/>
    <w:unhideWhenUsed w:val="1"/>
    <w:rsid w:val="00A0670E"/>
    <w:pPr>
      <w:tabs>
        <w:tab w:val="center" w:pos="4536"/>
        <w:tab w:val="right" w:pos="9072"/>
      </w:tabs>
      <w:spacing w:line="240" w:lineRule="auto"/>
    </w:pPr>
  </w:style>
  <w:style w:type="character" w:styleId="PieddepageCar" w:customStyle="1">
    <w:name w:val="Pied de page Car"/>
    <w:basedOn w:val="Policepardfaut"/>
    <w:link w:val="Pieddepage"/>
    <w:uiPriority w:val="99"/>
    <w:rsid w:val="00A0670E"/>
  </w:style>
  <w:style w:type="table" w:styleId="a4" w:customStyle="1">
    <w:basedOn w:val="TableNormal5"/>
    <w:rPr>
      <w:color w:val="000000"/>
    </w:rPr>
    <w:tblPr>
      <w:tblStyleRowBandSize w:val="1"/>
      <w:tblStyleColBandSize w:val="1"/>
      <w:tblCellMar>
        <w:top w:w="100.0" w:type="dxa"/>
        <w:left w:w="100.0" w:type="dxa"/>
        <w:bottom w:w="100.0" w:type="dxa"/>
        <w:right w:w="100.0" w:type="dxa"/>
      </w:tblCellMar>
    </w:tblPr>
  </w:style>
  <w:style w:type="table" w:styleId="a5" w:customStyle="1">
    <w:basedOn w:val="TableNormal5"/>
    <w:rPr>
      <w:color w:val="000000"/>
    </w:rPr>
    <w:tblPr>
      <w:tblStyleRowBandSize w:val="1"/>
      <w:tblStyleColBandSize w:val="1"/>
      <w:tblCellMar>
        <w:top w:w="100.0" w:type="dxa"/>
        <w:left w:w="100.0" w:type="dxa"/>
        <w:bottom w:w="100.0" w:type="dxa"/>
        <w:right w:w="100.0" w:type="dxa"/>
      </w:tblCellMar>
    </w:tblPr>
  </w:style>
  <w:style w:type="table" w:styleId="a6" w:customStyle="1">
    <w:basedOn w:val="TableNormal5"/>
    <w:rPr>
      <w:color w:val="000000"/>
    </w:rPr>
    <w:tblPr>
      <w:tblStyleRowBandSize w:val="1"/>
      <w:tblStyleColBandSize w:val="1"/>
      <w:tblCellMar>
        <w:top w:w="100.0" w:type="dxa"/>
        <w:left w:w="100.0" w:type="dxa"/>
        <w:bottom w:w="100.0" w:type="dxa"/>
        <w:right w:w="100.0" w:type="dxa"/>
      </w:tblCellMar>
    </w:tblPr>
  </w:style>
  <w:style w:type="table" w:styleId="a7" w:customStyle="1">
    <w:basedOn w:val="TableNormal5"/>
    <w:tblPr>
      <w:tblStyleRowBandSize w:val="1"/>
      <w:tblStyleColBandSize w:val="1"/>
      <w:tblCellMar>
        <w:top w:w="100.0" w:type="dxa"/>
        <w:left w:w="100.0" w:type="dxa"/>
        <w:bottom w:w="100.0" w:type="dxa"/>
        <w:right w:w="100.0" w:type="dxa"/>
      </w:tblCellMar>
    </w:tblPr>
  </w:style>
  <w:style w:type="table" w:styleId="a8" w:customStyle="1">
    <w:basedOn w:val="TableNormal5"/>
    <w:tblPr>
      <w:tblStyleRowBandSize w:val="1"/>
      <w:tblStyleColBandSize w:val="1"/>
      <w:tblCellMar>
        <w:top w:w="15.0" w:type="dxa"/>
        <w:left w:w="15.0" w:type="dxa"/>
        <w:bottom w:w="15.0" w:type="dxa"/>
        <w:right w:w="15.0" w:type="dxa"/>
      </w:tblCellMar>
    </w:tblPr>
  </w:style>
  <w:style w:type="table" w:styleId="a9" w:customStyle="1">
    <w:basedOn w:val="TableNormal5"/>
    <w:rPr>
      <w:color w:val="000000"/>
    </w:rPr>
    <w:tblPr>
      <w:tblStyleRowBandSize w:val="1"/>
      <w:tblStyleColBandSize w:val="1"/>
      <w:tblCellMar>
        <w:top w:w="100.0" w:type="dxa"/>
        <w:left w:w="100.0" w:type="dxa"/>
        <w:bottom w:w="100.0" w:type="dxa"/>
        <w:right w:w="100.0" w:type="dxa"/>
      </w:tblCellMar>
    </w:tblPr>
  </w:style>
  <w:style w:type="paragraph" w:styleId="Objetducommentaire">
    <w:name w:val="annotation subject"/>
    <w:basedOn w:val="Commentaire"/>
    <w:next w:val="Commentaire"/>
    <w:link w:val="ObjetducommentaireCar"/>
    <w:uiPriority w:val="99"/>
    <w:semiHidden w:val="1"/>
    <w:unhideWhenUsed w:val="1"/>
    <w:rsid w:val="008B48C0"/>
    <w:rPr>
      <w:b w:val="1"/>
      <w:bCs w:val="1"/>
    </w:rPr>
  </w:style>
  <w:style w:type="character" w:styleId="ObjetducommentaireCar" w:customStyle="1">
    <w:name w:val="Objet du commentaire Car"/>
    <w:basedOn w:val="CommentaireCar"/>
    <w:link w:val="Objetducommentaire"/>
    <w:uiPriority w:val="99"/>
    <w:semiHidden w:val="1"/>
    <w:rsid w:val="008B48C0"/>
    <w:rPr>
      <w:b w:val="1"/>
      <w:bCs w:val="1"/>
      <w:sz w:val="20"/>
      <w:szCs w:val="20"/>
    </w:rPr>
  </w:style>
  <w:style w:type="table" w:styleId="aa" w:customStyle="1">
    <w:basedOn w:val="TableNormal1"/>
    <w:rPr>
      <w:color w:val="000000"/>
    </w:rPr>
    <w:tblPr>
      <w:tblStyleRowBandSize w:val="1"/>
      <w:tblStyleColBandSize w:val="1"/>
      <w:tblCellMar>
        <w:top w:w="100.0" w:type="dxa"/>
        <w:left w:w="100.0" w:type="dxa"/>
        <w:bottom w:w="100.0" w:type="dxa"/>
        <w:right w:w="100.0" w:type="dxa"/>
      </w:tblCellMar>
    </w:tblPr>
  </w:style>
  <w:style w:type="table" w:styleId="ab" w:customStyle="1">
    <w:basedOn w:val="TableNormal1"/>
    <w:rPr>
      <w:color w:val="000000"/>
    </w:rPr>
    <w:tblPr>
      <w:tblStyleRowBandSize w:val="1"/>
      <w:tblStyleColBandSize w:val="1"/>
      <w:tblCellMar>
        <w:top w:w="100.0" w:type="dxa"/>
        <w:left w:w="100.0" w:type="dxa"/>
        <w:bottom w:w="100.0" w:type="dxa"/>
        <w:right w:w="100.0" w:type="dxa"/>
      </w:tblCellMar>
    </w:tblPr>
  </w:style>
  <w:style w:type="table" w:styleId="ac" w:customStyle="1">
    <w:basedOn w:val="TableNormal1"/>
    <w:rPr>
      <w:color w:val="000000"/>
    </w:rPr>
    <w:tblPr>
      <w:tblStyleRowBandSize w:val="1"/>
      <w:tblStyleColBandSize w:val="1"/>
      <w:tblCellMar>
        <w:top w:w="100.0" w:type="dxa"/>
        <w:left w:w="100.0" w:type="dxa"/>
        <w:bottom w:w="100.0" w:type="dxa"/>
        <w:right w:w="100.0" w:type="dxa"/>
      </w:tblCellMar>
    </w:tblPr>
  </w:style>
  <w:style w:type="table" w:styleId="ad" w:customStyle="1">
    <w:basedOn w:val="TableNormal1"/>
    <w:rPr>
      <w:color w:val="000000"/>
    </w:rPr>
    <w:tblPr>
      <w:tblStyleRowBandSize w:val="1"/>
      <w:tblStyleColBandSize w:val="1"/>
      <w:tblCellMar>
        <w:top w:w="100.0" w:type="dxa"/>
        <w:left w:w="100.0" w:type="dxa"/>
        <w:bottom w:w="100.0" w:type="dxa"/>
        <w:right w:w="100.0" w:type="dxa"/>
      </w:tblCellMar>
    </w:tblPr>
  </w:style>
  <w:style w:type="table" w:styleId="ae" w:customStyle="1">
    <w:basedOn w:val="TableNormal1"/>
    <w:rPr>
      <w:color w:val="000000"/>
    </w:rPr>
    <w:tblPr>
      <w:tblStyleRowBandSize w:val="1"/>
      <w:tblStyleColBandSize w:val="1"/>
      <w:tblCellMar>
        <w:top w:w="100.0" w:type="dxa"/>
        <w:left w:w="100.0" w:type="dxa"/>
        <w:bottom w:w="100.0" w:type="dxa"/>
        <w:right w:w="100.0" w:type="dxa"/>
      </w:tblCellMar>
    </w:tblPr>
  </w:style>
  <w:style w:type="table" w:styleId="af" w:customStyle="1">
    <w:basedOn w:val="TableNormal1"/>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table" w:styleId="Table3">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color w:val="000000"/>
    </w:rPr>
    <w:tblPr>
      <w:tblStyleRowBandSize w:val="1"/>
      <w:tblStyleColBandSize w:val="1"/>
      <w:tblCellMar>
        <w:top w:w="100.0" w:type="dxa"/>
        <w:left w:w="100.0" w:type="dxa"/>
        <w:bottom w:w="100.0" w:type="dxa"/>
        <w:right w:w="100.0" w:type="dxa"/>
      </w:tblCellMar>
    </w:tblPr>
  </w:style>
  <w:style w:type="table" w:styleId="Table2">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legifrance.gouv.fr/codes/article_lc/LEGIARTI0000437234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vG1mn4IVHIsQBkI/oSJEKcoFQ==">CgMxLjAyCGguZ2pkZ3hzOABqJwoUc3VnZ2VzdC4yZjc4cnN0eDE1bGESD0Nsb3RpbGRlIFZhbGlkZWonChRzdWdnZXN0LjNieDVwZGN3YTRiMBIPQ2xvdGlsZGUgVmFsaWRlaicKFHN1Z2dlc3QuMzl0cXg0bDMxMjI2Eg9DbG90aWxkZSBWYWxpZGVqJwoUc3VnZ2VzdC5odXk0eHdxeHMwbGsSD0Nsb3RpbGRlIFZhbGlkZWonChRzdWdnZXN0Lnl0dXNic2phZHQ3eBIPRW1pbGllIENPVVJUT0lTaicKFHN1Z2dlc3QudHA4bGFwNHNjcWZpEg9DbG90aWxkZSBWYWxpZGVqJwoUc3VnZ2VzdC4yaHhwM3R6NWk2Y20SD0Nsb3RpbGRlIFZhbGlkZXIhMUtycmNHUE1SRXdlVWdkbGlSQ3RrSlJaekNoSDlkRD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2022-01-31T09:27:00Z</dcterms:created>
  <dc:creator>Emilie Courtois</dc:creator>
</cp:coreProperties>
</file>