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320" w:lineRule="auto"/>
        <w:rPr>
          <w:rFonts w:ascii="Proxima Nova" w:cs="Proxima Nova" w:eastAsia="Proxima Nova" w:hAnsi="Proxima Nova"/>
          <w:b w:val="1"/>
          <w:color w:val="353744"/>
          <w:sz w:val="36"/>
          <w:szCs w:val="36"/>
        </w:rPr>
      </w:pPr>
      <w:r w:rsidDel="00000000" w:rsidR="00000000" w:rsidRPr="00000000">
        <w:rPr>
          <w:rFonts w:ascii="Tahoma" w:cs="Tahoma" w:eastAsia="Tahoma" w:hAnsi="Tahoma"/>
          <w:b w:val="1"/>
          <w:color w:val="036287"/>
          <w:sz w:val="36"/>
          <w:szCs w:val="36"/>
          <w:rtl w:val="0"/>
        </w:rPr>
        <w:t xml:space="preserve">SECOPS ENGINEER</w:t>
      </w:r>
      <w:r w:rsidDel="00000000" w:rsidR="00000000" w:rsidRPr="00000000">
        <w:rPr>
          <w:rtl w:val="0"/>
        </w:rPr>
      </w:r>
    </w:p>
    <w:p w:rsidR="00000000" w:rsidDel="00000000" w:rsidP="00000000" w:rsidRDefault="00000000" w:rsidRPr="00000000" w14:paraId="00000002">
      <w:pPr>
        <w:pStyle w:val="Subtitle"/>
        <w:keepNext w:val="0"/>
        <w:keepLines w:val="0"/>
        <w:spacing w:after="0" w:before="0" w:lineRule="auto"/>
        <w:rPr>
          <w:rFonts w:ascii="Tahoma" w:cs="Tahoma" w:eastAsia="Tahoma" w:hAnsi="Tahoma"/>
          <w:b w:val="1"/>
          <w:i w:val="0"/>
          <w:color w:val="036287"/>
          <w:sz w:val="28"/>
          <w:szCs w:val="28"/>
        </w:rPr>
      </w:pPr>
      <w:bookmarkStart w:colFirst="0" w:colLast="0" w:name="_heading=h.1fob9te" w:id="0"/>
      <w:bookmarkEnd w:id="0"/>
      <w:r w:rsidDel="00000000" w:rsidR="00000000" w:rsidRPr="00000000">
        <w:rPr>
          <w:rFonts w:ascii="Tahoma" w:cs="Tahoma" w:eastAsia="Tahoma" w:hAnsi="Tahoma"/>
          <w:b w:val="1"/>
          <w:i w:val="0"/>
          <w:color w:val="036287"/>
          <w:sz w:val="28"/>
          <w:szCs w:val="28"/>
          <w:rtl w:val="0"/>
        </w:rPr>
        <w:t xml:space="preserve">Direction Technique du HDH</w:t>
      </w:r>
    </w:p>
    <w:p w:rsidR="00000000" w:rsidDel="00000000" w:rsidP="00000000" w:rsidRDefault="00000000" w:rsidRPr="00000000" w14:paraId="00000003">
      <w:pPr>
        <w:tabs>
          <w:tab w:val="left" w:pos="284"/>
        </w:tabs>
        <w:jc w:val="both"/>
        <w:rPr>
          <w:rFonts w:ascii="Proxima Nova" w:cs="Proxima Nova" w:eastAsia="Proxima Nova" w:hAnsi="Proxima Nova"/>
          <w:color w:val="353744"/>
          <w:sz w:val="22"/>
          <w:szCs w:val="22"/>
        </w:rPr>
      </w:pPr>
      <w:r w:rsidDel="00000000" w:rsidR="00000000" w:rsidRPr="00000000">
        <w:rPr>
          <w:rtl w:val="0"/>
        </w:rPr>
      </w:r>
    </w:p>
    <w:p w:rsidR="00000000" w:rsidDel="00000000" w:rsidP="00000000" w:rsidRDefault="00000000" w:rsidRPr="00000000" w14:paraId="00000004">
      <w:pPr>
        <w:tabs>
          <w:tab w:val="left" w:pos="284"/>
        </w:tabs>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Contrat – CDI, temps plein</w:t>
      </w:r>
    </w:p>
    <w:p w:rsidR="00000000" w:rsidDel="00000000" w:rsidP="00000000" w:rsidRDefault="00000000" w:rsidRPr="00000000" w14:paraId="00000005">
      <w:pPr>
        <w:tabs>
          <w:tab w:val="left" w:pos="284"/>
        </w:tabs>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Rémunération – selon expérience et profil</w:t>
      </w:r>
    </w:p>
    <w:p w:rsidR="00000000" w:rsidDel="00000000" w:rsidP="00000000" w:rsidRDefault="00000000" w:rsidRPr="00000000" w14:paraId="00000006">
      <w:pPr>
        <w:tabs>
          <w:tab w:val="left" w:pos="284"/>
        </w:tabs>
        <w:jc w:val="both"/>
        <w:rPr>
          <w:rFonts w:ascii="Tahoma" w:cs="Tahoma" w:eastAsia="Tahoma" w:hAnsi="Tahoma"/>
          <w:b w:val="1"/>
          <w:color w:val="353744"/>
          <w:sz w:val="20"/>
          <w:szCs w:val="20"/>
        </w:rPr>
      </w:pPr>
      <w:r w:rsidDel="00000000" w:rsidR="00000000" w:rsidRPr="00000000">
        <w:rPr>
          <w:rFonts w:ascii="Tahoma" w:cs="Tahoma" w:eastAsia="Tahoma" w:hAnsi="Tahoma"/>
          <w:b w:val="1"/>
          <w:color w:val="353744"/>
          <w:sz w:val="20"/>
          <w:szCs w:val="20"/>
          <w:rtl w:val="0"/>
        </w:rPr>
        <w:t xml:space="preserve">Date de début – dès que possible</w:t>
      </w:r>
    </w:p>
    <w:p w:rsidR="00000000" w:rsidDel="00000000" w:rsidP="00000000" w:rsidRDefault="00000000" w:rsidRPr="00000000" w14:paraId="00000007">
      <w:pPr>
        <w:tabs>
          <w:tab w:val="left" w:pos="284"/>
        </w:tabs>
        <w:jc w:val="both"/>
        <w:rPr>
          <w:rFonts w:ascii="Proxima Nova" w:cs="Proxima Nova" w:eastAsia="Proxima Nova" w:hAnsi="Proxima Nova"/>
          <w:color w:val="353744"/>
          <w:sz w:val="20"/>
          <w:szCs w:val="20"/>
        </w:rPr>
      </w:pPr>
      <w:r w:rsidDel="00000000" w:rsidR="00000000" w:rsidRPr="00000000">
        <w:rPr>
          <w:rtl w:val="0"/>
        </w:rPr>
      </w:r>
    </w:p>
    <w:p w:rsidR="00000000" w:rsidDel="00000000" w:rsidP="00000000" w:rsidRDefault="00000000" w:rsidRPr="00000000" w14:paraId="00000008">
      <w:pPr>
        <w:spacing w:after="200" w:before="480" w:lineRule="auto"/>
        <w:rPr>
          <w:rFonts w:ascii="Tahoma" w:cs="Tahoma" w:eastAsia="Tahoma" w:hAnsi="Tahoma"/>
          <w:b w:val="1"/>
          <w:color w:val="353744"/>
          <w:sz w:val="28"/>
          <w:szCs w:val="28"/>
        </w:rPr>
      </w:pPr>
      <w:bookmarkStart w:colFirst="0" w:colLast="0" w:name="_heading=h.2et92p0" w:id="1"/>
      <w:bookmarkEnd w:id="1"/>
      <w:r w:rsidDel="00000000" w:rsidR="00000000" w:rsidRPr="00000000">
        <w:rPr>
          <w:rFonts w:ascii="Tahoma" w:cs="Tahoma" w:eastAsia="Tahoma" w:hAnsi="Tahoma"/>
          <w:b w:val="1"/>
          <w:color w:val="353744"/>
          <w:sz w:val="28"/>
          <w:szCs w:val="28"/>
          <w:rtl w:val="0"/>
        </w:rPr>
        <w:t xml:space="preserve">LE HEALTH DATA HUB</w:t>
      </w:r>
    </w:p>
    <w:p w:rsidR="00000000" w:rsidDel="00000000" w:rsidP="00000000" w:rsidRDefault="00000000" w:rsidRPr="00000000" w14:paraId="00000009">
      <w:pPr>
        <w:spacing w:after="240" w:before="200" w:lineRule="auto"/>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Health Data Hub (HDH) ou « plateforme des données de santé » est un Groupement d'Intérêt Public dont l’objectif est de faciliter les travaux de recherche sur le patrimoine des données de santé. Il interagit avec de nombreux acteurs tels que les Ministères, la Caisse Nationale d'Assurance Maladie, les hôpitaux. La transparence et la participation des citoyens sont des engagements clés du HDH. </w:t>
      </w:r>
    </w:p>
    <w:p w:rsidR="00000000" w:rsidDel="00000000" w:rsidP="00000000" w:rsidRDefault="00000000" w:rsidRPr="00000000" w14:paraId="0000000A">
      <w:pPr>
        <w:spacing w:after="160" w:lineRule="auto"/>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Health Data Hub c’est : </w:t>
      </w:r>
    </w:p>
    <w:p w:rsidR="00000000" w:rsidDel="00000000" w:rsidP="00000000" w:rsidRDefault="00000000" w:rsidRPr="00000000" w14:paraId="0000000B">
      <w:pPr>
        <w:numPr>
          <w:ilvl w:val="0"/>
          <w:numId w:val="7"/>
        </w:numPr>
        <w:spacing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Une plateforme technologique à l’état de l’art disponible pour héberger les premiers projets de recherche </w:t>
      </w:r>
    </w:p>
    <w:p w:rsidR="00000000" w:rsidDel="00000000" w:rsidP="00000000" w:rsidRDefault="00000000" w:rsidRPr="00000000" w14:paraId="0000000C">
      <w:pPr>
        <w:numPr>
          <w:ilvl w:val="0"/>
          <w:numId w:val="7"/>
        </w:numPr>
        <w:spacing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Une équipe pluridisciplinaire d’une cinquantaine personnes impliquées dans un projet ambitieux  au service de l’intérêt général</w:t>
      </w:r>
    </w:p>
    <w:p w:rsidR="00000000" w:rsidDel="00000000" w:rsidP="00000000" w:rsidRDefault="00000000" w:rsidRPr="00000000" w14:paraId="0000000D">
      <w:pPr>
        <w:numPr>
          <w:ilvl w:val="0"/>
          <w:numId w:val="7"/>
        </w:numPr>
        <w:spacing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Près de 1 pétaoctet de données de santé traitées par an lorsque le HDH aura atteint son régime de croisière</w:t>
      </w:r>
    </w:p>
    <w:p w:rsidR="00000000" w:rsidDel="00000000" w:rsidP="00000000" w:rsidRDefault="00000000" w:rsidRPr="00000000" w14:paraId="0000000E">
      <w:pPr>
        <w:numPr>
          <w:ilvl w:val="0"/>
          <w:numId w:val="7"/>
        </w:numPr>
        <w:spacing w:after="200"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28 projets pilotes accompagnés - Exemples : </w:t>
      </w:r>
    </w:p>
    <w:p w:rsidR="00000000" w:rsidDel="00000000" w:rsidP="00000000" w:rsidRDefault="00000000" w:rsidRPr="00000000" w14:paraId="0000000F">
      <w:pPr>
        <w:numPr>
          <w:ilvl w:val="0"/>
          <w:numId w:val="1"/>
        </w:numPr>
        <w:spacing w:after="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Analyse du non recours au soin pendant le confinement à partir des résumés de passages aux urgences</w:t>
      </w:r>
    </w:p>
    <w:p w:rsidR="00000000" w:rsidDel="00000000" w:rsidP="00000000" w:rsidRDefault="00000000" w:rsidRPr="00000000" w14:paraId="00000010">
      <w:pPr>
        <w:numPr>
          <w:ilvl w:val="0"/>
          <w:numId w:val="1"/>
        </w:numPr>
        <w:spacing w:before="200" w:lineRule="auto"/>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Etude de l’impact et des traitements sur des données de vie réelle afin d’identifier les meilleurs schémas thérapeutiques pour le traitement du sarcome </w:t>
      </w:r>
    </w:p>
    <w:p w:rsidR="00000000" w:rsidDel="00000000" w:rsidP="00000000" w:rsidRDefault="00000000" w:rsidRPr="00000000" w14:paraId="00000011">
      <w:pPr>
        <w:numPr>
          <w:ilvl w:val="0"/>
          <w:numId w:val="1"/>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Evaluation de l’apport de l’IA dans le dépistage organisé du cancer du sein</w:t>
      </w:r>
    </w:p>
    <w:p w:rsidR="00000000" w:rsidDel="00000000" w:rsidP="00000000" w:rsidRDefault="00000000" w:rsidRPr="00000000" w14:paraId="00000012">
      <w:pPr>
        <w:rPr>
          <w:rFonts w:ascii="Proxima Nova" w:cs="Proxima Nova" w:eastAsia="Proxima Nova" w:hAnsi="Proxima Nova"/>
          <w:color w:val="353744"/>
          <w:sz w:val="22"/>
          <w:szCs w:val="22"/>
        </w:rPr>
      </w:pPr>
      <w:r w:rsidDel="00000000" w:rsidR="00000000" w:rsidRPr="00000000">
        <w:rPr>
          <w:rtl w:val="0"/>
        </w:rPr>
      </w:r>
    </w:p>
    <w:p w:rsidR="00000000" w:rsidDel="00000000" w:rsidP="00000000" w:rsidRDefault="00000000" w:rsidRPr="00000000" w14:paraId="00000013">
      <w:pPr>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HDH porte une mission de facilitation de la recherche médicale, et de ce fait est un vecteur d’amélioration de la vie des patients. Au cœur des enjeux du numérique et de la santé, il est porté par une équipe dynamique qui contribue au partage de la connaissance à travers l’open source.</w:t>
      </w:r>
    </w:p>
    <w:p w:rsidR="00000000" w:rsidDel="00000000" w:rsidP="00000000" w:rsidRDefault="00000000" w:rsidRPr="00000000" w14:paraId="00000014">
      <w:pPr>
        <w:jc w:val="both"/>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15">
      <w:pPr>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Plus d'informations sur le Health Data Hub et son équipe sur notre </w:t>
      </w:r>
      <w:hyperlink r:id="rId7">
        <w:r w:rsidDel="00000000" w:rsidR="00000000" w:rsidRPr="00000000">
          <w:rPr>
            <w:rFonts w:ascii="Tahoma" w:cs="Tahoma" w:eastAsia="Tahoma" w:hAnsi="Tahoma"/>
            <w:color w:val="353744"/>
            <w:sz w:val="22"/>
            <w:szCs w:val="22"/>
            <w:u w:val="single"/>
            <w:rtl w:val="0"/>
          </w:rPr>
          <w:t xml:space="preserve">site</w:t>
        </w:r>
      </w:hyperlink>
      <w:r w:rsidDel="00000000" w:rsidR="00000000" w:rsidRPr="00000000">
        <w:rPr>
          <w:rFonts w:ascii="Tahoma" w:cs="Tahoma" w:eastAsia="Tahoma" w:hAnsi="Tahoma"/>
          <w:color w:val="353744"/>
          <w:sz w:val="22"/>
          <w:szCs w:val="22"/>
          <w:u w:val="single"/>
          <w:rtl w:val="0"/>
        </w:rPr>
        <w:t xml:space="preserve">.</w:t>
      </w:r>
      <w:r w:rsidDel="00000000" w:rsidR="00000000" w:rsidRPr="00000000">
        <w:rPr>
          <w:rtl w:val="0"/>
        </w:rPr>
      </w:r>
    </w:p>
    <w:p w:rsidR="00000000" w:rsidDel="00000000" w:rsidP="00000000" w:rsidRDefault="00000000" w:rsidRPr="00000000" w14:paraId="00000016">
      <w:pPr>
        <w:spacing w:before="480" w:lineRule="auto"/>
        <w:rPr>
          <w:rFonts w:ascii="Proxima Nova" w:cs="Proxima Nova" w:eastAsia="Proxima Nova" w:hAnsi="Proxima Nova"/>
          <w:b w:val="1"/>
          <w:color w:val="353744"/>
          <w:sz w:val="28"/>
          <w:szCs w:val="28"/>
        </w:rPr>
      </w:pPr>
      <w:bookmarkStart w:colFirst="0" w:colLast="0" w:name="_heading=h.tyjcwt" w:id="2"/>
      <w:bookmarkEnd w:id="2"/>
      <w:r w:rsidDel="00000000" w:rsidR="00000000" w:rsidRPr="00000000">
        <w:rPr>
          <w:rtl w:val="0"/>
        </w:rPr>
      </w:r>
    </w:p>
    <w:p w:rsidR="00000000" w:rsidDel="00000000" w:rsidP="00000000" w:rsidRDefault="00000000" w:rsidRPr="00000000" w14:paraId="00000017">
      <w:pPr>
        <w:spacing w:before="480" w:lineRule="auto"/>
        <w:rPr>
          <w:rFonts w:ascii="Tahoma" w:cs="Tahoma" w:eastAsia="Tahoma" w:hAnsi="Tahoma"/>
          <w:b w:val="1"/>
          <w:color w:val="353744"/>
          <w:sz w:val="28"/>
          <w:szCs w:val="28"/>
        </w:rPr>
      </w:pPr>
      <w:bookmarkStart w:colFirst="0" w:colLast="0" w:name="_heading=h.12a3wbvkhzv7" w:id="3"/>
      <w:bookmarkEnd w:id="3"/>
      <w:r w:rsidDel="00000000" w:rsidR="00000000" w:rsidRPr="00000000">
        <w:rPr>
          <w:rtl w:val="0"/>
        </w:rPr>
      </w:r>
    </w:p>
    <w:p w:rsidR="00000000" w:rsidDel="00000000" w:rsidP="00000000" w:rsidRDefault="00000000" w:rsidRPr="00000000" w14:paraId="00000018">
      <w:pPr>
        <w:spacing w:before="480" w:lineRule="auto"/>
        <w:rPr>
          <w:rFonts w:ascii="Tahoma" w:cs="Tahoma" w:eastAsia="Tahoma" w:hAnsi="Tahoma"/>
          <w:b w:val="1"/>
          <w:color w:val="353744"/>
          <w:sz w:val="28"/>
          <w:szCs w:val="28"/>
        </w:rPr>
      </w:pPr>
      <w:bookmarkStart w:colFirst="0" w:colLast="0" w:name="_heading=h.qn4c5cyswb4r" w:id="4"/>
      <w:bookmarkEnd w:id="4"/>
      <w:r w:rsidDel="00000000" w:rsidR="00000000" w:rsidRPr="00000000">
        <w:rPr>
          <w:rFonts w:ascii="Tahoma" w:cs="Tahoma" w:eastAsia="Tahoma" w:hAnsi="Tahoma"/>
          <w:b w:val="1"/>
          <w:color w:val="353744"/>
          <w:sz w:val="28"/>
          <w:szCs w:val="28"/>
          <w:rtl w:val="0"/>
        </w:rPr>
        <w:t xml:space="preserve">DESCRIPTIF DU POSTE</w:t>
      </w:r>
    </w:p>
    <w:p w:rsidR="00000000" w:rsidDel="00000000" w:rsidP="00000000" w:rsidRDefault="00000000" w:rsidRPr="00000000" w14:paraId="00000019">
      <w:pPr>
        <w:jc w:val="both"/>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1A">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La Direction Technique est l’entité du Health Data Hub en charge de la conception, de l’implémentation et de la maintenance de la plateforme technologique. Celle-ci vise à mettre à disposition des porteurs de projets les données de santé pseudonymisées sous haute condition de sécurité dans le respect des droits des citoyens. Son offre logicielle se veut à l'état de l'art. La plateforme doit être un levier d'innovation dans l'écosystème de la donnée de santé français.</w:t>
      </w:r>
    </w:p>
    <w:p w:rsidR="00000000" w:rsidDel="00000000" w:rsidP="00000000" w:rsidRDefault="00000000" w:rsidRPr="00000000" w14:paraId="0000001B">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Au sein de la direction technique et sous la supervision du Responsable des Opérations, vous serez chargé du maintien en condition opérationnelle et de sécurité de la plateforme de données de santé, de sa supervision et des actions de prévention. A ce titre, vous participerez activement à l’atteinte des niveaux de performance et des engagements du Health Data Hub et interviendrez dans toutes les missions de sécurisation des composants logiciels, SI, et d'infrastructure, et plus globalement de l'ensemble de la plateforme technologique.</w:t>
      </w:r>
    </w:p>
    <w:p w:rsidR="00000000" w:rsidDel="00000000" w:rsidP="00000000" w:rsidRDefault="00000000" w:rsidRPr="00000000" w14:paraId="0000001C">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Vous serez force de proposition et prendrez un rôle actif dans l’amélioration continue de la plateforme technologique.</w:t>
      </w:r>
    </w:p>
    <w:p w:rsidR="00000000" w:rsidDel="00000000" w:rsidP="00000000" w:rsidRDefault="00000000" w:rsidRPr="00000000" w14:paraId="0000001D">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Pour des raisons de sécurité, il est précisé que ce rôle correspond à un poste de gestion opérationnelle (run) et qu’il n’est pas associé au développement (build) de la plateforme technologique.</w:t>
      </w:r>
    </w:p>
    <w:p w:rsidR="00000000" w:rsidDel="00000000" w:rsidP="00000000" w:rsidRDefault="00000000" w:rsidRPr="00000000" w14:paraId="0000001E">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En tant que SecOps Engineer, vous serez amené à :</w:t>
      </w:r>
    </w:p>
    <w:p w:rsidR="00000000" w:rsidDel="00000000" w:rsidP="00000000" w:rsidRDefault="00000000" w:rsidRPr="00000000" w14:paraId="0000001F">
      <w:pPr>
        <w:ind w:left="720" w:firstLine="0"/>
        <w:rPr>
          <w:rFonts w:ascii="Tahoma" w:cs="Tahoma" w:eastAsia="Tahoma" w:hAnsi="Tahoma"/>
          <w:b w:val="1"/>
          <w:color w:val="036287"/>
          <w:sz w:val="28"/>
          <w:szCs w:val="28"/>
        </w:rPr>
      </w:pPr>
      <w:r w:rsidDel="00000000" w:rsidR="00000000" w:rsidRPr="00000000">
        <w:rPr>
          <w:rtl w:val="0"/>
        </w:rPr>
      </w:r>
    </w:p>
    <w:p w:rsidR="00000000" w:rsidDel="00000000" w:rsidP="00000000" w:rsidRDefault="00000000" w:rsidRPr="00000000" w14:paraId="00000020">
      <w:pPr>
        <w:ind w:left="0" w:firstLine="0"/>
        <w:rPr>
          <w:rFonts w:ascii="Tahoma" w:cs="Tahoma" w:eastAsia="Tahoma" w:hAnsi="Tahoma"/>
          <w:b w:val="1"/>
          <w:color w:val="036287"/>
        </w:rPr>
      </w:pPr>
      <w:r w:rsidDel="00000000" w:rsidR="00000000" w:rsidRPr="00000000">
        <w:rPr>
          <w:rFonts w:ascii="Tahoma" w:cs="Tahoma" w:eastAsia="Tahoma" w:hAnsi="Tahoma"/>
          <w:b w:val="1"/>
          <w:color w:val="036287"/>
          <w:rtl w:val="0"/>
        </w:rPr>
        <w:t xml:space="preserve">Opérer la plateforme technologique du Health Data Hub</w:t>
      </w:r>
    </w:p>
    <w:p w:rsidR="00000000" w:rsidDel="00000000" w:rsidP="00000000" w:rsidRDefault="00000000" w:rsidRPr="00000000" w14:paraId="00000021">
      <w:pPr>
        <w:ind w:left="72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2">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Appliquer et maintenir à jour les procédures de maintien en conditions opérationnelle et de sécurité de la plateforme technologique (composants cloud IaaS et SaaS) ;</w:t>
      </w:r>
    </w:p>
    <w:p w:rsidR="00000000" w:rsidDel="00000000" w:rsidP="00000000" w:rsidRDefault="00000000" w:rsidRPr="00000000" w14:paraId="00000023">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Automatiser et réaliser les tâches de supervision de la plateforme, proposer et intégrer les dashboards de supervision ;</w:t>
      </w:r>
    </w:p>
    <w:p w:rsidR="00000000" w:rsidDel="00000000" w:rsidP="00000000" w:rsidRDefault="00000000" w:rsidRPr="00000000" w14:paraId="00000024">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Etablir une hygiène proactive pour prévenir les incidents de production et les attaques en collaboration avec l’équipe SSI ;</w:t>
      </w:r>
    </w:p>
    <w:p w:rsidR="00000000" w:rsidDel="00000000" w:rsidP="00000000" w:rsidRDefault="00000000" w:rsidRPr="00000000" w14:paraId="00000025">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Paramétrer et opérer les scripts de gestion de la plateforme technologique (Terraform) ;</w:t>
      </w:r>
    </w:p>
    <w:p w:rsidR="00000000" w:rsidDel="00000000" w:rsidP="00000000" w:rsidRDefault="00000000" w:rsidRPr="00000000" w14:paraId="00000026">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Réaliser la mise à jour des serveurs et des appliances ;</w:t>
      </w:r>
    </w:p>
    <w:p w:rsidR="00000000" w:rsidDel="00000000" w:rsidP="00000000" w:rsidRDefault="00000000" w:rsidRPr="00000000" w14:paraId="00000027">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Proposer des évolutions de la plateforme technologique pour qu’elle réponde aux objectifs de croissance et de fiabilité ;</w:t>
      </w:r>
    </w:p>
    <w:p w:rsidR="00000000" w:rsidDel="00000000" w:rsidP="00000000" w:rsidRDefault="00000000" w:rsidRPr="00000000" w14:paraId="00000028">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Mettre en place, administrer et exploiter les composants de sécurité (firewalls, Solution Antivirale, Proxy, EDR, WAF) de la plateforme technologique ;</w:t>
      </w:r>
    </w:p>
    <w:p w:rsidR="00000000" w:rsidDel="00000000" w:rsidP="00000000" w:rsidRDefault="00000000" w:rsidRPr="00000000" w14:paraId="00000029">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Piloter et réaliser les opérations de sécurité récurrentes en appliquant les recommandations de l’équipe SSI ;</w:t>
      </w:r>
    </w:p>
    <w:p w:rsidR="00000000" w:rsidDel="00000000" w:rsidP="00000000" w:rsidRDefault="00000000" w:rsidRPr="00000000" w14:paraId="0000002A">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Vous assurer de l’intégration et de l’automatisation de la sécurité dans les chaînes de traitement de la plateforme technologique en collaboration avec l’équipe SSI ;</w:t>
      </w:r>
    </w:p>
    <w:p w:rsidR="00000000" w:rsidDel="00000000" w:rsidP="00000000" w:rsidRDefault="00000000" w:rsidRPr="00000000" w14:paraId="0000002B">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Assurer le support aux utilisateurs de la plateforme technologique par la prise en charge d'incidents (qualification, diagnostic et supervision de l'application de la solution) ;</w:t>
      </w:r>
    </w:p>
    <w:p w:rsidR="00000000" w:rsidDel="00000000" w:rsidP="00000000" w:rsidRDefault="00000000" w:rsidRPr="00000000" w14:paraId="0000002C">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Intervenir dans la réponse aux incidents.</w:t>
      </w:r>
    </w:p>
    <w:p w:rsidR="00000000" w:rsidDel="00000000" w:rsidP="00000000" w:rsidRDefault="00000000" w:rsidRPr="00000000" w14:paraId="0000002D">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E">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F">
      <w:pPr>
        <w:ind w:left="72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036287"/>
        </w:rPr>
      </w:pPr>
      <w:r w:rsidDel="00000000" w:rsidR="00000000" w:rsidRPr="00000000">
        <w:rPr>
          <w:rFonts w:ascii="Tahoma" w:cs="Tahoma" w:eastAsia="Tahoma" w:hAnsi="Tahoma"/>
          <w:b w:val="1"/>
          <w:color w:val="036287"/>
          <w:rtl w:val="0"/>
        </w:rPr>
        <w:t xml:space="preserve">Apporter une expertise système</w:t>
      </w:r>
    </w:p>
    <w:p w:rsidR="00000000" w:rsidDel="00000000" w:rsidP="00000000" w:rsidRDefault="00000000" w:rsidRPr="00000000" w14:paraId="00000031">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Apporter une expertise système dans le cadre de la définition de l'architecture et de l'implémentation de la plateforme technologique et des services associés ;</w:t>
      </w:r>
    </w:p>
    <w:p w:rsidR="00000000" w:rsidDel="00000000" w:rsidP="00000000" w:rsidRDefault="00000000" w:rsidRPr="00000000" w14:paraId="00000032">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Appuyer la vision technique de la plateforme technologique, des applications, et des services à moyen et long terme ;</w:t>
      </w:r>
    </w:p>
    <w:p w:rsidR="00000000" w:rsidDel="00000000" w:rsidP="00000000" w:rsidRDefault="00000000" w:rsidRPr="00000000" w14:paraId="00000033">
      <w:pPr>
        <w:numPr>
          <w:ilvl w:val="0"/>
          <w:numId w:val="3"/>
        </w:numPr>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Apporter une expertise technique dans le cadre d’échange et d’accompagnement de partenaires et fournisseurs de données pour optimiser l’interopérabilité des systèmes.</w:t>
      </w:r>
    </w:p>
    <w:p w:rsidR="00000000" w:rsidDel="00000000" w:rsidP="00000000" w:rsidRDefault="00000000" w:rsidRPr="00000000" w14:paraId="00000034">
      <w:pPr>
        <w:ind w:left="72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5">
      <w:pPr>
        <w:spacing w:before="480" w:lineRule="auto"/>
        <w:rPr>
          <w:rFonts w:ascii="Tahoma" w:cs="Tahoma" w:eastAsia="Tahoma" w:hAnsi="Tahoma"/>
          <w:color w:val="353744"/>
          <w:sz w:val="22"/>
          <w:szCs w:val="22"/>
        </w:rPr>
      </w:pPr>
      <w:r w:rsidDel="00000000" w:rsidR="00000000" w:rsidRPr="00000000">
        <w:rPr>
          <w:rFonts w:ascii="Tahoma" w:cs="Tahoma" w:eastAsia="Tahoma" w:hAnsi="Tahoma"/>
          <w:b w:val="1"/>
          <w:color w:val="353744"/>
          <w:sz w:val="28"/>
          <w:szCs w:val="28"/>
          <w:rtl w:val="0"/>
        </w:rPr>
        <w:t xml:space="preserve">PROFIL RECHERCHE</w:t>
      </w:r>
      <w:r w:rsidDel="00000000" w:rsidR="00000000" w:rsidRPr="00000000">
        <w:rPr>
          <w:rtl w:val="0"/>
        </w:rPr>
      </w:r>
    </w:p>
    <w:p w:rsidR="00000000" w:rsidDel="00000000" w:rsidP="00000000" w:rsidRDefault="00000000" w:rsidRPr="00000000" w14:paraId="00000036">
      <w:pPr>
        <w:tabs>
          <w:tab w:val="left" w:pos="284"/>
        </w:tabs>
        <w:jc w:val="both"/>
        <w:rPr>
          <w:rFonts w:ascii="Tahoma" w:cs="Tahoma" w:eastAsia="Tahoma" w:hAnsi="Tahoma"/>
          <w:b w:val="1"/>
          <w:color w:val="353744"/>
          <w:sz w:val="28"/>
          <w:szCs w:val="28"/>
        </w:rPr>
      </w:pPr>
      <w:r w:rsidDel="00000000" w:rsidR="00000000" w:rsidRPr="00000000">
        <w:rPr>
          <w:rtl w:val="0"/>
        </w:rPr>
      </w:r>
    </w:p>
    <w:p w:rsidR="00000000" w:rsidDel="00000000" w:rsidP="00000000" w:rsidRDefault="00000000" w:rsidRPr="00000000" w14:paraId="00000037">
      <w:pPr>
        <w:tabs>
          <w:tab w:val="left" w:pos="284"/>
        </w:tabs>
        <w:jc w:val="both"/>
        <w:rPr>
          <w:rFonts w:ascii="Tahoma" w:cs="Tahoma" w:eastAsia="Tahoma" w:hAnsi="Tahoma"/>
          <w:b w:val="1"/>
          <w:color w:val="036287"/>
        </w:rPr>
      </w:pPr>
      <w:bookmarkStart w:colFirst="0" w:colLast="0" w:name="_heading=h.8315qlwvbbtl" w:id="5"/>
      <w:bookmarkEnd w:id="5"/>
      <w:r w:rsidDel="00000000" w:rsidR="00000000" w:rsidRPr="00000000">
        <w:rPr>
          <w:rFonts w:ascii="Tahoma" w:cs="Tahoma" w:eastAsia="Tahoma" w:hAnsi="Tahoma"/>
          <w:b w:val="1"/>
          <w:color w:val="036287"/>
          <w:rtl w:val="0"/>
        </w:rPr>
        <w:t xml:space="preserve">Compétences techniques</w:t>
      </w:r>
    </w:p>
    <w:p w:rsidR="00000000" w:rsidDel="00000000" w:rsidP="00000000" w:rsidRDefault="00000000" w:rsidRPr="00000000" w14:paraId="00000038">
      <w:pPr>
        <w:tabs>
          <w:tab w:val="left" w:pos="284"/>
        </w:tabs>
        <w:jc w:val="both"/>
        <w:rPr>
          <w:rFonts w:ascii="Tahoma" w:cs="Tahoma" w:eastAsia="Tahoma" w:hAnsi="Tahoma"/>
          <w:b w:val="1"/>
          <w:color w:val="036287"/>
        </w:rPr>
      </w:pPr>
      <w:r w:rsidDel="00000000" w:rsidR="00000000" w:rsidRPr="00000000">
        <w:rPr>
          <w:rtl w:val="0"/>
        </w:rPr>
      </w:r>
    </w:p>
    <w:p w:rsidR="00000000" w:rsidDel="00000000" w:rsidP="00000000" w:rsidRDefault="00000000" w:rsidRPr="00000000" w14:paraId="00000039">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3 ans d’expérience dans l’administration de systèmes informatiques avec une</w:t>
      </w:r>
    </w:p>
    <w:p w:rsidR="00000000" w:rsidDel="00000000" w:rsidP="00000000" w:rsidRDefault="00000000" w:rsidRPr="00000000" w14:paraId="0000003A">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première expérience significative sur le Cloud (Microsoft Azure est un plus) ;</w:t>
      </w:r>
    </w:p>
    <w:p w:rsidR="00000000" w:rsidDel="00000000" w:rsidP="00000000" w:rsidRDefault="00000000" w:rsidRPr="00000000" w14:paraId="0000003B">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Connaissance approfondie en scripting (bash ou powershell) ;</w:t>
      </w:r>
    </w:p>
    <w:p w:rsidR="00000000" w:rsidDel="00000000" w:rsidP="00000000" w:rsidRDefault="00000000" w:rsidRPr="00000000" w14:paraId="0000003C">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Connaissances en administration Linux et Windows ;</w:t>
      </w:r>
    </w:p>
    <w:p w:rsidR="00000000" w:rsidDel="00000000" w:rsidP="00000000" w:rsidRDefault="00000000" w:rsidRPr="00000000" w14:paraId="0000003D">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Connaissances en virtualisation ;</w:t>
      </w:r>
    </w:p>
    <w:p w:rsidR="00000000" w:rsidDel="00000000" w:rsidP="00000000" w:rsidRDefault="00000000" w:rsidRPr="00000000" w14:paraId="0000003E">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Connaissances réseau (adressage, routage, filtrage) et sécurité (VPN (IPSEC, SSL),</w:t>
      </w:r>
    </w:p>
    <w:p w:rsidR="00000000" w:rsidDel="00000000" w:rsidP="00000000" w:rsidRDefault="00000000" w:rsidRPr="00000000" w14:paraId="0000003F">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Firewall Next-Generation, Routing, WAF, Vlan, VPN SSL, AntiDDOS, IPS/IDS, Proxy,</w:t>
      </w:r>
    </w:p>
    <w:p w:rsidR="00000000" w:rsidDel="00000000" w:rsidP="00000000" w:rsidRDefault="00000000" w:rsidRPr="00000000" w14:paraId="00000040">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EDR, SIEM) ;</w:t>
      </w:r>
    </w:p>
    <w:p w:rsidR="00000000" w:rsidDel="00000000" w:rsidP="00000000" w:rsidRDefault="00000000" w:rsidRPr="00000000" w14:paraId="00000041">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Connaissances des architectures d’infrastructure Datacenter et Cloud</w:t>
      </w:r>
    </w:p>
    <w:p w:rsidR="00000000" w:rsidDel="00000000" w:rsidP="00000000" w:rsidRDefault="00000000" w:rsidRPr="00000000" w14:paraId="00000042">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(AWS/Azure/GCP) ;</w:t>
      </w:r>
    </w:p>
    <w:p w:rsidR="00000000" w:rsidDel="00000000" w:rsidP="00000000" w:rsidRDefault="00000000" w:rsidRPr="00000000" w14:paraId="00000043">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Connaissance des technologies utilisées en science des données :</w:t>
      </w:r>
    </w:p>
    <w:p w:rsidR="00000000" w:rsidDel="00000000" w:rsidP="00000000" w:rsidRDefault="00000000" w:rsidRPr="00000000" w14:paraId="00000044">
      <w:pPr>
        <w:numPr>
          <w:ilvl w:val="0"/>
          <w:numId w:val="5"/>
        </w:numPr>
        <w:ind w:left="720" w:hanging="360"/>
        <w:jc w:val="both"/>
        <w:rPr>
          <w:rFonts w:ascii="Tahoma" w:cs="Tahoma" w:eastAsia="Tahoma" w:hAnsi="Tahoma"/>
          <w:color w:val="353744"/>
          <w:sz w:val="22"/>
          <w:szCs w:val="22"/>
        </w:rPr>
      </w:pPr>
      <w:sdt>
        <w:sdtPr>
          <w:tag w:val="goog_rdk_0"/>
        </w:sdtPr>
        <w:sdtContent>
          <w:r w:rsidDel="00000000" w:rsidR="00000000" w:rsidRPr="00000000">
            <w:rPr>
              <w:rFonts w:ascii="Arial Unicode MS" w:cs="Arial Unicode MS" w:eastAsia="Arial Unicode MS" w:hAnsi="Arial Unicode MS"/>
              <w:color w:val="353744"/>
              <w:sz w:val="22"/>
              <w:szCs w:val="22"/>
              <w:rtl w:val="0"/>
            </w:rPr>
            <w:t xml:space="preserve">○ stockage : objet, SQL, NoSQL, HDFS, etc.</w:t>
          </w:r>
        </w:sdtContent>
      </w:sdt>
    </w:p>
    <w:p w:rsidR="00000000" w:rsidDel="00000000" w:rsidP="00000000" w:rsidRDefault="00000000" w:rsidRPr="00000000" w14:paraId="00000045">
      <w:pPr>
        <w:numPr>
          <w:ilvl w:val="0"/>
          <w:numId w:val="5"/>
        </w:numPr>
        <w:ind w:left="720" w:hanging="360"/>
        <w:jc w:val="both"/>
        <w:rPr>
          <w:rFonts w:ascii="Tahoma" w:cs="Tahoma" w:eastAsia="Tahoma" w:hAnsi="Tahoma"/>
          <w:color w:val="353744"/>
          <w:sz w:val="22"/>
          <w:szCs w:val="22"/>
        </w:rPr>
      </w:pPr>
      <w:sdt>
        <w:sdtPr>
          <w:tag w:val="goog_rdk_1"/>
        </w:sdtPr>
        <w:sdtContent>
          <w:r w:rsidDel="00000000" w:rsidR="00000000" w:rsidRPr="00000000">
            <w:rPr>
              <w:rFonts w:ascii="Arial Unicode MS" w:cs="Arial Unicode MS" w:eastAsia="Arial Unicode MS" w:hAnsi="Arial Unicode MS"/>
              <w:color w:val="353744"/>
              <w:sz w:val="22"/>
              <w:szCs w:val="22"/>
              <w:rtl w:val="0"/>
            </w:rPr>
            <w:t xml:space="preserve">○ traitements distribués : Hadoop, Spark, Kafka, etc.</w:t>
          </w:r>
        </w:sdtContent>
      </w:sdt>
    </w:p>
    <w:p w:rsidR="00000000" w:rsidDel="00000000" w:rsidP="00000000" w:rsidRDefault="00000000" w:rsidRPr="00000000" w14:paraId="00000046">
      <w:pPr>
        <w:numPr>
          <w:ilvl w:val="0"/>
          <w:numId w:val="5"/>
        </w:numPr>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Une connaissance des référentiels de sécurité étatiques tel que le Référentiel Général de Sécurité, publié par l’ANSSI ou d’autres ressources similaires serait un plus.</w:t>
      </w:r>
    </w:p>
    <w:p w:rsidR="00000000" w:rsidDel="00000000" w:rsidP="00000000" w:rsidRDefault="00000000" w:rsidRPr="00000000" w14:paraId="00000047">
      <w:pPr>
        <w:ind w:left="0" w:firstLine="0"/>
        <w:jc w:val="both"/>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48">
      <w:pPr>
        <w:jc w:val="both"/>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49">
      <w:pPr>
        <w:tabs>
          <w:tab w:val="left" w:pos="284"/>
        </w:tabs>
        <w:jc w:val="both"/>
        <w:rPr>
          <w:rFonts w:ascii="Tahoma" w:cs="Tahoma" w:eastAsia="Tahoma" w:hAnsi="Tahoma"/>
          <w:b w:val="1"/>
          <w:color w:val="036287"/>
        </w:rPr>
      </w:pPr>
      <w:bookmarkStart w:colFirst="0" w:colLast="0" w:name="_heading=h.dzcylimgzqsv" w:id="6"/>
      <w:bookmarkEnd w:id="6"/>
      <w:r w:rsidDel="00000000" w:rsidR="00000000" w:rsidRPr="00000000">
        <w:rPr>
          <w:rFonts w:ascii="Tahoma" w:cs="Tahoma" w:eastAsia="Tahoma" w:hAnsi="Tahoma"/>
          <w:b w:val="1"/>
          <w:color w:val="036287"/>
          <w:rtl w:val="0"/>
        </w:rPr>
        <w:t xml:space="preserve">Compétences personnelles et relationnelles</w:t>
      </w:r>
    </w:p>
    <w:p w:rsidR="00000000" w:rsidDel="00000000" w:rsidP="00000000" w:rsidRDefault="00000000" w:rsidRPr="00000000" w14:paraId="0000004A">
      <w:pPr>
        <w:tabs>
          <w:tab w:val="left" w:pos="284"/>
        </w:tabs>
        <w:jc w:val="both"/>
        <w:rPr>
          <w:rFonts w:ascii="Tahoma" w:cs="Tahoma" w:eastAsia="Tahoma" w:hAnsi="Tahoma"/>
          <w:b w:val="1"/>
          <w:color w:val="036287"/>
        </w:rPr>
      </w:pPr>
      <w:bookmarkStart w:colFirst="0" w:colLast="0" w:name="_heading=h.sf969kcn3xmf" w:id="7"/>
      <w:bookmarkEnd w:id="7"/>
      <w:r w:rsidDel="00000000" w:rsidR="00000000" w:rsidRPr="00000000">
        <w:rPr>
          <w:rtl w:val="0"/>
        </w:rPr>
      </w:r>
    </w:p>
    <w:p w:rsidR="00000000" w:rsidDel="00000000" w:rsidP="00000000" w:rsidRDefault="00000000" w:rsidRPr="00000000" w14:paraId="0000004B">
      <w:pPr>
        <w:numPr>
          <w:ilvl w:val="0"/>
          <w:numId w:val="6"/>
        </w:numPr>
        <w:tabs>
          <w:tab w:val="right" w:pos="8010"/>
        </w:tabs>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Vous êtes exigeant et vous excellez dans ce que vous faites ;</w:t>
      </w:r>
    </w:p>
    <w:p w:rsidR="00000000" w:rsidDel="00000000" w:rsidP="00000000" w:rsidRDefault="00000000" w:rsidRPr="00000000" w14:paraId="0000004C">
      <w:pPr>
        <w:numPr>
          <w:ilvl w:val="0"/>
          <w:numId w:val="6"/>
        </w:numPr>
        <w:tabs>
          <w:tab w:val="right" w:pos="8010"/>
        </w:tabs>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Vous avez un esprit entrepreneurial et êtes curieux sans avoir peur du changement ;</w:t>
      </w:r>
    </w:p>
    <w:p w:rsidR="00000000" w:rsidDel="00000000" w:rsidP="00000000" w:rsidRDefault="00000000" w:rsidRPr="00000000" w14:paraId="0000004D">
      <w:pPr>
        <w:numPr>
          <w:ilvl w:val="0"/>
          <w:numId w:val="6"/>
        </w:numPr>
        <w:tabs>
          <w:tab w:val="right" w:pos="8010"/>
        </w:tabs>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Vous avez le goût du travail en équipe ;</w:t>
      </w:r>
    </w:p>
    <w:p w:rsidR="00000000" w:rsidDel="00000000" w:rsidP="00000000" w:rsidRDefault="00000000" w:rsidRPr="00000000" w14:paraId="0000004E">
      <w:pPr>
        <w:numPr>
          <w:ilvl w:val="0"/>
          <w:numId w:val="6"/>
        </w:numPr>
        <w:tabs>
          <w:tab w:val="right" w:pos="8010"/>
        </w:tabs>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Vous faite preuve d’autonomie ;</w:t>
      </w:r>
    </w:p>
    <w:p w:rsidR="00000000" w:rsidDel="00000000" w:rsidP="00000000" w:rsidRDefault="00000000" w:rsidRPr="00000000" w14:paraId="0000004F">
      <w:pPr>
        <w:numPr>
          <w:ilvl w:val="0"/>
          <w:numId w:val="6"/>
        </w:numPr>
        <w:tabs>
          <w:tab w:val="right" w:pos="8010"/>
        </w:tabs>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Vous faites preuve d’une excellente qualité d’organisation, de planification et de</w:t>
      </w:r>
    </w:p>
    <w:p w:rsidR="00000000" w:rsidDel="00000000" w:rsidP="00000000" w:rsidRDefault="00000000" w:rsidRPr="00000000" w14:paraId="00000050">
      <w:pPr>
        <w:numPr>
          <w:ilvl w:val="0"/>
          <w:numId w:val="6"/>
        </w:numPr>
        <w:tabs>
          <w:tab w:val="right" w:pos="8010"/>
        </w:tabs>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rigueur.</w:t>
      </w:r>
    </w:p>
    <w:p w:rsidR="00000000" w:rsidDel="00000000" w:rsidP="00000000" w:rsidRDefault="00000000" w:rsidRPr="00000000" w14:paraId="00000051">
      <w:pPr>
        <w:tabs>
          <w:tab w:val="right" w:pos="8010"/>
        </w:tabs>
        <w:ind w:left="0" w:firstLine="0"/>
        <w:jc w:val="both"/>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52">
      <w:pPr>
        <w:tabs>
          <w:tab w:val="right" w:pos="8010"/>
        </w:tabs>
        <w:jc w:val="both"/>
        <w:rPr>
          <w:rFonts w:ascii="Tahoma" w:cs="Tahoma" w:eastAsia="Tahoma" w:hAnsi="Tahoma"/>
          <w:b w:val="1"/>
          <w:color w:val="036287"/>
          <w:sz w:val="28"/>
          <w:szCs w:val="28"/>
        </w:rPr>
      </w:pPr>
      <w:r w:rsidDel="00000000" w:rsidR="00000000" w:rsidRPr="00000000">
        <w:rPr>
          <w:rtl w:val="0"/>
        </w:rPr>
      </w:r>
    </w:p>
    <w:p w:rsidR="00000000" w:rsidDel="00000000" w:rsidP="00000000" w:rsidRDefault="00000000" w:rsidRPr="00000000" w14:paraId="00000053">
      <w:pPr>
        <w:spacing w:line="259" w:lineRule="auto"/>
        <w:jc w:val="both"/>
        <w:rPr>
          <w:rFonts w:ascii="Tahoma" w:cs="Tahoma" w:eastAsia="Tahoma" w:hAnsi="Tahoma"/>
          <w:b w:val="1"/>
          <w:color w:val="036287"/>
          <w:sz w:val="22"/>
          <w:szCs w:val="22"/>
        </w:rPr>
      </w:pPr>
      <w:r w:rsidDel="00000000" w:rsidR="00000000" w:rsidRPr="00000000">
        <w:rPr>
          <w:rFonts w:ascii="Tahoma" w:cs="Tahoma" w:eastAsia="Tahoma" w:hAnsi="Tahoma"/>
          <w:b w:val="1"/>
          <w:color w:val="036287"/>
          <w:sz w:val="22"/>
          <w:szCs w:val="22"/>
          <w:rtl w:val="0"/>
        </w:rPr>
        <w:t xml:space="preserve">POURQUOI CHOISIR LE HEALTH DATA HUB ?</w:t>
      </w:r>
    </w:p>
    <w:p w:rsidR="00000000" w:rsidDel="00000000" w:rsidP="00000000" w:rsidRDefault="00000000" w:rsidRPr="00000000" w14:paraId="00000054">
      <w:pPr>
        <w:spacing w:line="259" w:lineRule="auto"/>
        <w:jc w:val="both"/>
        <w:rPr>
          <w:rFonts w:ascii="Tahoma" w:cs="Tahoma" w:eastAsia="Tahoma" w:hAnsi="Tahoma"/>
          <w:b w:val="1"/>
          <w:color w:val="036287"/>
          <w:sz w:val="22"/>
          <w:szCs w:val="22"/>
        </w:rPr>
      </w:pPr>
      <w:r w:rsidDel="00000000" w:rsidR="00000000" w:rsidRPr="00000000">
        <w:rPr>
          <w:rtl w:val="0"/>
        </w:rPr>
      </w:r>
    </w:p>
    <w:p w:rsidR="00000000" w:rsidDel="00000000" w:rsidP="00000000" w:rsidRDefault="00000000" w:rsidRPr="00000000" w14:paraId="00000055">
      <w:pPr>
        <w:numPr>
          <w:ilvl w:val="0"/>
          <w:numId w:val="4"/>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Mettre ses compétences au service de l’intérêt général</w:t>
      </w:r>
    </w:p>
    <w:p w:rsidR="00000000" w:rsidDel="00000000" w:rsidP="00000000" w:rsidRDefault="00000000" w:rsidRPr="00000000" w14:paraId="00000056">
      <w:pPr>
        <w:numPr>
          <w:ilvl w:val="0"/>
          <w:numId w:val="4"/>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Intégrer une équipe jeune, dynamique et pluridisciplinaire</w:t>
      </w:r>
    </w:p>
    <w:p w:rsidR="00000000" w:rsidDel="00000000" w:rsidP="00000000" w:rsidRDefault="00000000" w:rsidRPr="00000000" w14:paraId="00000057">
      <w:pPr>
        <w:numPr>
          <w:ilvl w:val="0"/>
          <w:numId w:val="4"/>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Intégrer une structure en forte croissance et avec de nombreuses possibilités d’évolution</w:t>
      </w:r>
    </w:p>
    <w:p w:rsidR="00000000" w:rsidDel="00000000" w:rsidP="00000000" w:rsidRDefault="00000000" w:rsidRPr="00000000" w14:paraId="00000058">
      <w:pPr>
        <w:numPr>
          <w:ilvl w:val="0"/>
          <w:numId w:val="4"/>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Évoluer dans un environnement technologique stimulant, varié et à l’état de l’art</w:t>
      </w:r>
    </w:p>
    <w:p w:rsidR="00000000" w:rsidDel="00000000" w:rsidP="00000000" w:rsidRDefault="00000000" w:rsidRPr="00000000" w14:paraId="00000059">
      <w:pPr>
        <w:numPr>
          <w:ilvl w:val="0"/>
          <w:numId w:val="4"/>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Rémunération attractive et compétitive</w:t>
      </w:r>
    </w:p>
    <w:p w:rsidR="00000000" w:rsidDel="00000000" w:rsidP="00000000" w:rsidRDefault="00000000" w:rsidRPr="00000000" w14:paraId="0000005A">
      <w:pPr>
        <w:numPr>
          <w:ilvl w:val="0"/>
          <w:numId w:val="4"/>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Des bureaux au coeur de Paris</w:t>
      </w:r>
    </w:p>
    <w:p w:rsidR="00000000" w:rsidDel="00000000" w:rsidP="00000000" w:rsidRDefault="00000000" w:rsidRPr="00000000" w14:paraId="0000005B">
      <w:pPr>
        <w:spacing w:line="259" w:lineRule="auto"/>
        <w:ind w:left="720" w:firstLine="0"/>
        <w:jc w:val="both"/>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5C">
      <w:pPr>
        <w:spacing w:line="259" w:lineRule="auto"/>
        <w:jc w:val="both"/>
        <w:rPr>
          <w:rFonts w:ascii="Tahoma" w:cs="Tahoma" w:eastAsia="Tahoma" w:hAnsi="Tahoma"/>
          <w:b w:val="1"/>
          <w:color w:val="036287"/>
          <w:sz w:val="22"/>
          <w:szCs w:val="22"/>
        </w:rPr>
      </w:pPr>
      <w:r w:rsidDel="00000000" w:rsidR="00000000" w:rsidRPr="00000000">
        <w:rPr>
          <w:rFonts w:ascii="Tahoma" w:cs="Tahoma" w:eastAsia="Tahoma" w:hAnsi="Tahoma"/>
          <w:b w:val="1"/>
          <w:color w:val="036287"/>
          <w:sz w:val="22"/>
          <w:szCs w:val="22"/>
          <w:rtl w:val="0"/>
        </w:rPr>
        <w:t xml:space="preserve">PROCÉDURE DE RECRUTEMENT</w:t>
      </w:r>
    </w:p>
    <w:p w:rsidR="00000000" w:rsidDel="00000000" w:rsidP="00000000" w:rsidRDefault="00000000" w:rsidRPr="00000000" w14:paraId="0000005D">
      <w:pPr>
        <w:spacing w:line="259" w:lineRule="auto"/>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Après avoir postulé, le recrutement se déroulera de la manière suivante : </w:t>
      </w:r>
    </w:p>
    <w:p w:rsidR="00000000" w:rsidDel="00000000" w:rsidP="00000000" w:rsidRDefault="00000000" w:rsidRPr="00000000" w14:paraId="0000005E">
      <w:pPr>
        <w:numPr>
          <w:ilvl w:val="0"/>
          <w:numId w:val="2"/>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 premier entretien avec le directeur de l’équipe</w:t>
      </w:r>
    </w:p>
    <w:p w:rsidR="00000000" w:rsidDel="00000000" w:rsidP="00000000" w:rsidRDefault="00000000" w:rsidRPr="00000000" w14:paraId="0000005F">
      <w:pPr>
        <w:numPr>
          <w:ilvl w:val="0"/>
          <w:numId w:val="2"/>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 test à réaliser chez soi</w:t>
      </w:r>
    </w:p>
    <w:p w:rsidR="00000000" w:rsidDel="00000000" w:rsidP="00000000" w:rsidRDefault="00000000" w:rsidRPr="00000000" w14:paraId="00000060">
      <w:pPr>
        <w:numPr>
          <w:ilvl w:val="0"/>
          <w:numId w:val="2"/>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 entretien technique, basé sur le test</w:t>
      </w:r>
    </w:p>
    <w:p w:rsidR="00000000" w:rsidDel="00000000" w:rsidP="00000000" w:rsidRDefault="00000000" w:rsidRPr="00000000" w14:paraId="00000061">
      <w:pPr>
        <w:numPr>
          <w:ilvl w:val="0"/>
          <w:numId w:val="2"/>
        </w:numPr>
        <w:spacing w:line="259" w:lineRule="auto"/>
        <w:ind w:left="720" w:hanging="360"/>
        <w:jc w:val="both"/>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 entretien final avec la directrice du Health Data Hub </w:t>
      </w:r>
      <w:r w:rsidDel="00000000" w:rsidR="00000000" w:rsidRPr="00000000">
        <w:rPr>
          <w:rtl w:val="0"/>
        </w:rPr>
      </w:r>
    </w:p>
    <w:p w:rsidR="00000000" w:rsidDel="00000000" w:rsidP="00000000" w:rsidRDefault="00000000" w:rsidRPr="00000000" w14:paraId="00000062">
      <w:pPr>
        <w:tabs>
          <w:tab w:val="right" w:pos="8010"/>
        </w:tabs>
        <w:jc w:val="both"/>
        <w:rPr>
          <w:rFonts w:ascii="Tahoma" w:cs="Tahoma" w:eastAsia="Tahoma" w:hAnsi="Tahoma"/>
          <w:b w:val="1"/>
          <w:color w:val="036287"/>
          <w:sz w:val="28"/>
          <w:szCs w:val="28"/>
        </w:rPr>
      </w:pPr>
      <w:bookmarkStart w:colFirst="0" w:colLast="0" w:name="_heading=h.vj2webffagns" w:id="8"/>
      <w:bookmarkEnd w:id="8"/>
      <w:r w:rsidDel="00000000" w:rsidR="00000000" w:rsidRPr="00000000">
        <w:rPr>
          <w:rtl w:val="0"/>
        </w:rPr>
      </w:r>
    </w:p>
    <w:p w:rsidR="00000000" w:rsidDel="00000000" w:rsidP="00000000" w:rsidRDefault="00000000" w:rsidRPr="00000000" w14:paraId="00000063">
      <w:pPr>
        <w:tabs>
          <w:tab w:val="right" w:pos="8010"/>
        </w:tabs>
        <w:jc w:val="both"/>
        <w:rPr>
          <w:rFonts w:ascii="Tahoma" w:cs="Tahoma" w:eastAsia="Tahoma" w:hAnsi="Tahoma"/>
          <w:b w:val="1"/>
          <w:color w:val="036287"/>
          <w:sz w:val="22"/>
          <w:szCs w:val="22"/>
        </w:rPr>
      </w:pPr>
      <w:bookmarkStart w:colFirst="0" w:colLast="0" w:name="_heading=h.404x08l3zyr5" w:id="9"/>
      <w:bookmarkEnd w:id="9"/>
      <w:r w:rsidDel="00000000" w:rsidR="00000000" w:rsidRPr="00000000">
        <w:rPr>
          <w:rFonts w:ascii="Tahoma" w:cs="Tahoma" w:eastAsia="Tahoma" w:hAnsi="Tahoma"/>
          <w:b w:val="1"/>
          <w:color w:val="036287"/>
          <w:sz w:val="22"/>
          <w:szCs w:val="22"/>
          <w:rtl w:val="0"/>
        </w:rPr>
        <w:t xml:space="preserve">Pour postuler </w:t>
      </w:r>
    </w:p>
    <w:p w:rsidR="00000000" w:rsidDel="00000000" w:rsidP="00000000" w:rsidRDefault="00000000" w:rsidRPr="00000000" w14:paraId="00000064">
      <w:pPr>
        <w:tabs>
          <w:tab w:val="right" w:pos="8010"/>
        </w:tabs>
        <w:ind w:left="0" w:firstLine="0"/>
        <w:rPr>
          <w:rFonts w:ascii="Tahoma" w:cs="Tahoma" w:eastAsia="Tahoma" w:hAnsi="Tahoma"/>
          <w:highlight w:val="yellow"/>
        </w:rPr>
      </w:pPr>
      <w:r w:rsidDel="00000000" w:rsidR="00000000" w:rsidRPr="00000000">
        <w:rPr>
          <w:rFonts w:ascii="Tahoma" w:cs="Tahoma" w:eastAsia="Tahoma" w:hAnsi="Tahoma"/>
          <w:sz w:val="22"/>
          <w:szCs w:val="22"/>
          <w:highlight w:val="white"/>
          <w:rtl w:val="0"/>
        </w:rPr>
        <w:t xml:space="preserve">CV et lettre de motivation à l’adresse</w:t>
      </w:r>
      <w:r w:rsidDel="00000000" w:rsidR="00000000" w:rsidRPr="00000000">
        <w:rPr>
          <w:rFonts w:ascii="Tahoma" w:cs="Tahoma" w:eastAsia="Tahoma" w:hAnsi="Tahoma"/>
          <w:b w:val="1"/>
          <w:color w:val="353744"/>
          <w:rtl w:val="0"/>
        </w:rPr>
        <w:t xml:space="preserve">: </w:t>
      </w:r>
      <w:r w:rsidDel="00000000" w:rsidR="00000000" w:rsidRPr="00000000">
        <w:rPr>
          <w:rFonts w:ascii="Tahoma" w:cs="Tahoma" w:eastAsia="Tahoma" w:hAnsi="Tahoma"/>
          <w:b w:val="1"/>
          <w:color w:val="036287"/>
          <w:rtl w:val="0"/>
        </w:rPr>
        <w:t xml:space="preserve">jobs.operations@health-data-hub.fr</w:t>
      </w:r>
      <w:r w:rsidDel="00000000" w:rsidR="00000000" w:rsidRPr="00000000">
        <w:rPr>
          <w:rtl w:val="0"/>
        </w:rPr>
      </w:r>
    </w:p>
    <w:p w:rsidR="00000000" w:rsidDel="00000000" w:rsidP="00000000" w:rsidRDefault="00000000" w:rsidRPr="00000000" w14:paraId="00000065">
      <w:pPr>
        <w:jc w:val="center"/>
        <w:rPr>
          <w:rFonts w:ascii="Tahoma" w:cs="Tahoma" w:eastAsia="Tahoma" w:hAnsi="Tahoma"/>
          <w:b w:val="1"/>
          <w:color w:val="036287"/>
          <w:sz w:val="36"/>
          <w:szCs w:val="36"/>
        </w:rPr>
      </w:pPr>
      <w:r w:rsidDel="00000000" w:rsidR="00000000" w:rsidRPr="00000000">
        <w:rPr>
          <w:rtl w:val="0"/>
        </w:rPr>
      </w:r>
    </w:p>
    <w:p w:rsidR="00000000" w:rsidDel="00000000" w:rsidP="00000000" w:rsidRDefault="00000000" w:rsidRPr="00000000" w14:paraId="00000066">
      <w:pPr>
        <w:jc w:val="center"/>
        <w:rPr>
          <w:rFonts w:ascii="Tahoma" w:cs="Tahoma" w:eastAsia="Tahoma" w:hAnsi="Tahoma"/>
          <w:b w:val="1"/>
          <w:color w:val="036287"/>
          <w:sz w:val="36"/>
          <w:szCs w:val="36"/>
        </w:rPr>
      </w:pPr>
      <w:r w:rsidDel="00000000" w:rsidR="00000000" w:rsidRPr="00000000">
        <w:rPr>
          <w:rtl w:val="0"/>
        </w:rPr>
      </w:r>
    </w:p>
    <w:p w:rsidR="00000000" w:rsidDel="00000000" w:rsidP="00000000" w:rsidRDefault="00000000" w:rsidRPr="00000000" w14:paraId="00000067">
      <w:pPr>
        <w:jc w:val="right"/>
        <w:rPr>
          <w:rFonts w:ascii="Tahoma" w:cs="Tahoma" w:eastAsia="Tahoma" w:hAnsi="Tahoma"/>
          <w:color w:val="036287"/>
          <w:sz w:val="32"/>
          <w:szCs w:val="32"/>
          <w:u w:val="single"/>
        </w:rPr>
      </w:pPr>
      <w:r w:rsidDel="00000000" w:rsidR="00000000" w:rsidRPr="00000000">
        <w:rPr>
          <w:rtl w:val="0"/>
        </w:rPr>
      </w:r>
    </w:p>
    <w:sectPr>
      <w:headerReference r:id="rId8" w:type="default"/>
      <w:footerReference r:id="rId9" w:type="default"/>
      <w:pgSz w:h="16838" w:w="11906" w:orient="portrait"/>
      <w:pgMar w:bottom="1417" w:top="1417" w:left="1417" w:right="1417" w:header="397"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pos="4536"/>
        <w:tab w:val="right" w:pos="9072"/>
      </w:tabs>
      <w:jc w:val="right"/>
      <w:rPr>
        <w:rFonts w:ascii="Tahoma" w:cs="Tahoma" w:eastAsia="Tahoma" w:hAnsi="Tahoma"/>
        <w:color w:val="000000"/>
        <w:sz w:val="16"/>
        <w:szCs w:val="16"/>
      </w:rPr>
    </w:pPr>
    <w:r w:rsidDel="00000000" w:rsidR="00000000" w:rsidRPr="00000000">
      <w:rPr>
        <w:rFonts w:ascii="Tahoma" w:cs="Tahoma" w:eastAsia="Tahoma" w:hAnsi="Tahoma"/>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pos="4536"/>
        <w:tab w:val="right" w:pos="9072"/>
      </w:tabs>
      <w:rPr>
        <w:rFonts w:ascii="Tahoma" w:cs="Tahoma" w:eastAsia="Tahoma" w:hAnsi="Tahoma"/>
        <w:color w:val="000000"/>
        <w:sz w:val="14"/>
        <w:szCs w:val="14"/>
      </w:rPr>
    </w:pPr>
    <w:r w:rsidDel="00000000" w:rsidR="00000000" w:rsidRPr="00000000">
      <w:rPr>
        <w:rFonts w:ascii="Tahoma" w:cs="Tahoma" w:eastAsia="Tahoma" w:hAnsi="Tahoma"/>
        <w:sz w:val="14"/>
        <w:szCs w:val="14"/>
        <w:rtl w:val="0"/>
      </w:rPr>
      <w:t xml:space="preserve">Exemple de fiche de poste - complétée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drawing>
        <wp:anchor allowOverlap="1" behindDoc="0" distB="0" distT="0" distL="0" distR="0" hidden="0" layoutInCell="1" locked="0" relativeHeight="0" simplePos="0">
          <wp:simplePos x="0" y="0"/>
          <wp:positionH relativeFrom="page">
            <wp:posOffset>6679255</wp:posOffset>
          </wp:positionH>
          <wp:positionV relativeFrom="page">
            <wp:posOffset>19050</wp:posOffset>
          </wp:positionV>
          <wp:extent cx="972329" cy="891302"/>
          <wp:effectExtent b="0" l="0" r="0" t="0"/>
          <wp:wrapSquare wrapText="bothSides" distB="0" distT="0" distL="0" distR="0"/>
          <wp:docPr id="20" name="image2.png"/>
          <a:graphic>
            <a:graphicData uri="http://schemas.openxmlformats.org/drawingml/2006/picture">
              <pic:pic>
                <pic:nvPicPr>
                  <pic:cNvPr id="0" name="image2.png"/>
                  <pic:cNvPicPr preferRelativeResize="0"/>
                </pic:nvPicPr>
                <pic:blipFill>
                  <a:blip r:embed="rId1"/>
                  <a:srcRect b="5319" l="0" r="0" t="-5319"/>
                  <a:stretch>
                    <a:fillRect/>
                  </a:stretch>
                </pic:blipFill>
                <pic:spPr>
                  <a:xfrm rot="16200000">
                    <a:off x="0" y="0"/>
                    <a:ext cx="972329" cy="891302"/>
                  </a:xfrm>
                  <a:prstGeom prst="rect"/>
                  <a:ln/>
                </pic:spPr>
              </pic:pic>
            </a:graphicData>
          </a:graphic>
        </wp:anchor>
      </w:drawing>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drawing>
        <wp:anchor allowOverlap="1" behindDoc="0" distB="0" distT="0" distL="114300" distR="114300" hidden="0" layoutInCell="1" locked="0" relativeHeight="0" simplePos="0">
          <wp:simplePos x="0" y="0"/>
          <wp:positionH relativeFrom="page">
            <wp:posOffset>899795</wp:posOffset>
          </wp:positionH>
          <wp:positionV relativeFrom="page">
            <wp:posOffset>514350</wp:posOffset>
          </wp:positionV>
          <wp:extent cx="1760220" cy="374015"/>
          <wp:effectExtent b="0" l="0" r="0" t="0"/>
          <wp:wrapSquare wrapText="bothSides" distB="0" distT="0" distL="114300" distR="114300"/>
          <wp:docPr id="2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60220" cy="374015"/>
                  </a:xfrm>
                  <a:prstGeom prst="rect"/>
                  <a:ln/>
                </pic:spPr>
              </pic:pic>
            </a:graphicData>
          </a:graphic>
        </wp:anchor>
      </w:drawing>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536"/>
        <w:tab w:val="right" w:pos="9072"/>
      </w:tabs>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pos="4536"/>
        <w:tab w:val="right" w:pos="9072"/>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704BA"/>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link w:val="Titre3Car"/>
    <w:uiPriority w:val="9"/>
    <w:semiHidden w:val="1"/>
    <w:unhideWhenUsed w:val="1"/>
    <w:qFormat w:val="1"/>
    <w:rsid w:val="00781AA1"/>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tte">
    <w:name w:val="header"/>
    <w:basedOn w:val="Normal"/>
    <w:link w:val="En-tteCar"/>
    <w:uiPriority w:val="99"/>
    <w:unhideWhenUsed w:val="1"/>
    <w:rsid w:val="00E91309"/>
    <w:pPr>
      <w:tabs>
        <w:tab w:val="center" w:pos="4536"/>
        <w:tab w:val="right" w:pos="9072"/>
      </w:tabs>
    </w:pPr>
  </w:style>
  <w:style w:type="character" w:styleId="En-tteCar" w:customStyle="1">
    <w:name w:val="En-tête Car"/>
    <w:basedOn w:val="Policepardfaut"/>
    <w:link w:val="En-tte"/>
    <w:uiPriority w:val="99"/>
    <w:rsid w:val="00E91309"/>
  </w:style>
  <w:style w:type="paragraph" w:styleId="Pieddepage">
    <w:name w:val="footer"/>
    <w:basedOn w:val="Normal"/>
    <w:link w:val="PieddepageCar"/>
    <w:uiPriority w:val="99"/>
    <w:unhideWhenUsed w:val="1"/>
    <w:rsid w:val="00E91309"/>
    <w:pPr>
      <w:tabs>
        <w:tab w:val="center" w:pos="4536"/>
        <w:tab w:val="right" w:pos="9072"/>
      </w:tabs>
    </w:pPr>
  </w:style>
  <w:style w:type="character" w:styleId="PieddepageCar" w:customStyle="1">
    <w:name w:val="Pied de page Car"/>
    <w:basedOn w:val="Policepardfaut"/>
    <w:link w:val="Pieddepage"/>
    <w:uiPriority w:val="99"/>
    <w:rsid w:val="00E91309"/>
  </w:style>
  <w:style w:type="paragraph" w:styleId="Paragraphedeliste">
    <w:name w:val="List Paragraph"/>
    <w:basedOn w:val="Normal"/>
    <w:uiPriority w:val="34"/>
    <w:qFormat w:val="1"/>
    <w:rsid w:val="003C6388"/>
    <w:pPr>
      <w:ind w:left="720"/>
      <w:contextualSpacing w:val="1"/>
    </w:pPr>
  </w:style>
  <w:style w:type="character" w:styleId="Titre3Car" w:customStyle="1">
    <w:name w:val="Titre 3 Car"/>
    <w:basedOn w:val="Policepardfaut"/>
    <w:link w:val="Titre3"/>
    <w:uiPriority w:val="9"/>
    <w:rsid w:val="00781AA1"/>
    <w:rPr>
      <w:rFonts w:asciiTheme="majorHAnsi" w:cstheme="majorBidi" w:eastAsiaTheme="majorEastAsia" w:hAnsiTheme="majorHAnsi"/>
      <w:color w:val="1f3763" w:themeColor="accent1" w:themeShade="00007F"/>
      <w:sz w:val="24"/>
      <w:szCs w:val="24"/>
      <w:lang w:eastAsia="fr-FR"/>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health-data-hub.f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6POq4twa9DiuUv/KGWCJLAimA==">AMUW2mW1s/aEFhFdoR0cRRE+k3tgif45rJY5HXd4aPNhU7UDOlgbsSHbi+oCtIeO7kUTaBqdQVEoX4ot6Pz0r/U6/20/snGG4UqYEU7XINYJpMUAhFtFTFJr7uX8v0hGAFU6pqj/KekifjzybSgX2kjqCHEgWHahi46qoZ/3GtevvA7MSXBlBv4CLU6xhifJJaqV1HpgLTRxvKG2zDckX6MJMVygd7ZIzP2Mqz9ehjs/oea8/GcfasT9cdQD5x0kTsfHPrZDkrb3hcGIY82lFjEZ0quYSvuBtf6mCWdfs18aZGitPHOZIKVcTgBth2NiA/iB8nb18c3e0XHJJXfSo29n6rhT4WZjEmtQ5Q6/rDhXgsHHj1PSobsxQ8+FuZ6IgHw8orYxdv2leXZmz/byAfnCzHMTuWvD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2021-08-27T08:56:00Z</dcterms:created>
  <dc:creator>Sophie Janaszkiewicz</dc:creator>
</cp:coreProperties>
</file>