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rPr>
          <w:rFonts w:ascii="Tahoma" w:cs="Tahoma" w:eastAsia="Tahoma" w:hAnsi="Tahoma"/>
          <w:b w:val="1"/>
          <w:color w:val="036287"/>
          <w:sz w:val="36"/>
          <w:szCs w:val="36"/>
        </w:rPr>
      </w:pPr>
      <w:bookmarkStart w:colFirst="0" w:colLast="0" w:name="_heading=h.18y20t9iszlr" w:id="0"/>
      <w:bookmarkEnd w:id="0"/>
      <w:r w:rsidDel="00000000" w:rsidR="00000000" w:rsidRPr="00000000">
        <w:rPr>
          <w:rFonts w:ascii="Tahoma" w:cs="Tahoma" w:eastAsia="Tahoma" w:hAnsi="Tahoma"/>
          <w:b w:val="1"/>
          <w:color w:val="036287"/>
          <w:sz w:val="36"/>
          <w:szCs w:val="36"/>
          <w:rtl w:val="0"/>
        </w:rPr>
        <w:t xml:space="preserve">Chargé(e) de communication événementielle</w:t>
      </w:r>
    </w:p>
    <w:p w:rsidR="00000000" w:rsidDel="00000000" w:rsidP="00000000" w:rsidRDefault="00000000" w:rsidRPr="00000000" w14:paraId="00000002">
      <w:pPr>
        <w:spacing w:after="0" w:before="0" w:lineRule="auto"/>
        <w:rPr>
          <w:rFonts w:ascii="Tahoma" w:cs="Tahoma" w:eastAsia="Tahoma" w:hAnsi="Tahoma"/>
          <w:b w:val="1"/>
          <w:color w:val="036287"/>
          <w:sz w:val="28"/>
          <w:szCs w:val="28"/>
        </w:rPr>
      </w:pPr>
      <w:bookmarkStart w:colFirst="0" w:colLast="0" w:name="_heading=h.axcvp956p95i" w:id="1"/>
      <w:bookmarkEnd w:id="1"/>
      <w:r w:rsidDel="00000000" w:rsidR="00000000" w:rsidRPr="00000000">
        <w:rPr>
          <w:rFonts w:ascii="Tahoma" w:cs="Tahoma" w:eastAsia="Tahoma" w:hAnsi="Tahoma"/>
          <w:b w:val="1"/>
          <w:color w:val="036287"/>
          <w:sz w:val="28"/>
          <w:szCs w:val="28"/>
          <w:rtl w:val="0"/>
        </w:rPr>
        <w:t xml:space="preserve">Direction de la communication du HDH</w:t>
      </w:r>
    </w:p>
    <w:p w:rsidR="00000000" w:rsidDel="00000000" w:rsidP="00000000" w:rsidRDefault="00000000" w:rsidRPr="00000000" w14:paraId="00000003">
      <w:pPr>
        <w:spacing w:after="0" w:before="0" w:lineRule="auto"/>
        <w:rPr>
          <w:rFonts w:ascii="Tahoma" w:cs="Tahoma" w:eastAsia="Tahoma" w:hAnsi="Tahoma"/>
          <w:b w:val="1"/>
          <w:color w:val="036287"/>
          <w:sz w:val="36"/>
          <w:szCs w:val="36"/>
        </w:rPr>
      </w:pPr>
      <w:bookmarkStart w:colFirst="0" w:colLast="0" w:name="_heading=h.ebp5e5druyp7" w:id="2"/>
      <w:bookmarkEnd w:id="2"/>
      <w:r w:rsidDel="00000000" w:rsidR="00000000" w:rsidRPr="00000000">
        <w:rPr>
          <w:rtl w:val="0"/>
        </w:rPr>
      </w:r>
    </w:p>
    <w:p w:rsidR="00000000" w:rsidDel="00000000" w:rsidP="00000000" w:rsidRDefault="00000000" w:rsidRPr="00000000" w14:paraId="00000004">
      <w:pPr>
        <w:spacing w:after="0" w:before="0" w:lineRule="auto"/>
        <w:rPr>
          <w:rFonts w:ascii="Tahoma" w:cs="Tahoma" w:eastAsia="Tahoma" w:hAnsi="Tahoma"/>
          <w:b w:val="1"/>
          <w:sz w:val="20"/>
          <w:szCs w:val="20"/>
        </w:rPr>
      </w:pPr>
      <w:bookmarkStart w:colFirst="0" w:colLast="0" w:name="_heading=h.pokvx2kdydi0" w:id="3"/>
      <w:bookmarkEnd w:id="3"/>
      <w:r w:rsidDel="00000000" w:rsidR="00000000" w:rsidRPr="00000000">
        <w:rPr>
          <w:rFonts w:ascii="Tahoma" w:cs="Tahoma" w:eastAsia="Tahoma" w:hAnsi="Tahoma"/>
          <w:b w:val="1"/>
          <w:sz w:val="20"/>
          <w:szCs w:val="20"/>
          <w:rtl w:val="0"/>
        </w:rPr>
        <w:t xml:space="preserve">Contrat – CDI</w:t>
      </w:r>
    </w:p>
    <w:p w:rsidR="00000000" w:rsidDel="00000000" w:rsidP="00000000" w:rsidRDefault="00000000" w:rsidRPr="00000000" w14:paraId="00000005">
      <w:pPr>
        <w:tabs>
          <w:tab w:val="left" w:pos="284"/>
        </w:tabs>
        <w:spacing w:before="0" w:line="276" w:lineRule="auto"/>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Rémunération – Selon profil</w:t>
      </w:r>
    </w:p>
    <w:p w:rsidR="00000000" w:rsidDel="00000000" w:rsidP="00000000" w:rsidRDefault="00000000" w:rsidRPr="00000000" w14:paraId="00000006">
      <w:pPr>
        <w:tabs>
          <w:tab w:val="left" w:pos="284"/>
        </w:tabs>
        <w:spacing w:before="0" w:line="276" w:lineRule="auto"/>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Date de début – Dès que possible</w:t>
      </w:r>
    </w:p>
    <w:p w:rsidR="00000000" w:rsidDel="00000000" w:rsidP="00000000" w:rsidRDefault="00000000" w:rsidRPr="00000000" w14:paraId="00000007">
      <w:pPr>
        <w:tabs>
          <w:tab w:val="left" w:pos="284"/>
        </w:tabs>
        <w:spacing w:before="0" w:line="276" w:lineRule="auto"/>
        <w:jc w:val="both"/>
        <w:rPr>
          <w:rFonts w:ascii="Montserrat Light" w:cs="Montserrat Light" w:eastAsia="Montserrat Light" w:hAnsi="Montserrat Light"/>
          <w:b w:val="1"/>
          <w:sz w:val="16"/>
          <w:szCs w:val="16"/>
        </w:rPr>
      </w:pPr>
      <w:r w:rsidDel="00000000" w:rsidR="00000000" w:rsidRPr="00000000">
        <w:rPr>
          <w:rFonts w:ascii="Tahoma" w:cs="Tahoma" w:eastAsia="Tahoma" w:hAnsi="Tahoma"/>
          <w:b w:val="1"/>
          <w:sz w:val="20"/>
          <w:szCs w:val="20"/>
          <w:rtl w:val="0"/>
        </w:rPr>
        <w:t xml:space="preserve">Localisation: Paris 15ème </w:t>
      </w:r>
      <w:r w:rsidDel="00000000" w:rsidR="00000000" w:rsidRPr="00000000">
        <w:rPr>
          <w:rtl w:val="0"/>
        </w:rPr>
      </w:r>
    </w:p>
    <w:p w:rsidR="00000000" w:rsidDel="00000000" w:rsidP="00000000" w:rsidRDefault="00000000" w:rsidRPr="00000000" w14:paraId="00000008">
      <w:pPr>
        <w:spacing w:after="200" w:before="480" w:line="240" w:lineRule="auto"/>
        <w:rPr>
          <w:rFonts w:ascii="Tahoma" w:cs="Tahoma" w:eastAsia="Tahoma" w:hAnsi="Tahoma"/>
          <w:b w:val="1"/>
          <w:sz w:val="28"/>
          <w:szCs w:val="28"/>
        </w:rPr>
      </w:pPr>
      <w:bookmarkStart w:colFirst="0" w:colLast="0" w:name="_heading=h.2et92p0" w:id="4"/>
      <w:bookmarkEnd w:id="4"/>
      <w:r w:rsidDel="00000000" w:rsidR="00000000" w:rsidRPr="00000000">
        <w:rPr>
          <w:rFonts w:ascii="Tahoma" w:cs="Tahoma" w:eastAsia="Tahoma" w:hAnsi="Tahoma"/>
          <w:b w:val="1"/>
          <w:sz w:val="28"/>
          <w:szCs w:val="28"/>
          <w:rtl w:val="0"/>
        </w:rPr>
        <w:t xml:space="preserve">LE HEALTH DATA HUB</w:t>
      </w:r>
    </w:p>
    <w:p w:rsidR="00000000" w:rsidDel="00000000" w:rsidP="00000000" w:rsidRDefault="00000000" w:rsidRPr="00000000" w14:paraId="00000009">
      <w:pPr>
        <w:spacing w:after="240" w:line="240" w:lineRule="auto"/>
        <w:jc w:val="both"/>
        <w:rPr>
          <w:rFonts w:ascii="Tahoma" w:cs="Tahoma" w:eastAsia="Tahoma" w:hAnsi="Tahoma"/>
        </w:rPr>
      </w:pPr>
      <w:r w:rsidDel="00000000" w:rsidR="00000000" w:rsidRPr="00000000">
        <w:rPr>
          <w:rFonts w:ascii="Tahoma" w:cs="Tahoma" w:eastAsia="Tahoma" w:hAnsi="Tahoma"/>
          <w:rtl w:val="0"/>
        </w:rPr>
        <w:t xml:space="preserve">Le Health Data Hub (HDH) ou « plateforme des données de santé » est un Groupement d'Intérêt Public dont l’objectif est de faciliter les travaux de recherche sur le patrimoine des données de santé. Il interagit avec de nombreux acteurs tels que les Ministères, la Caisse Nationale d'Assurance Maladie, les hôpitaux. La transparence et la participation des citoyens sont des engagements clés du HDH. </w:t>
      </w:r>
    </w:p>
    <w:p w:rsidR="00000000" w:rsidDel="00000000" w:rsidP="00000000" w:rsidRDefault="00000000" w:rsidRPr="00000000" w14:paraId="0000000A">
      <w:pPr>
        <w:spacing w:after="160" w:before="0" w:line="240" w:lineRule="auto"/>
        <w:jc w:val="both"/>
        <w:rPr>
          <w:rFonts w:ascii="Tahoma" w:cs="Tahoma" w:eastAsia="Tahoma" w:hAnsi="Tahoma"/>
        </w:rPr>
      </w:pPr>
      <w:r w:rsidDel="00000000" w:rsidR="00000000" w:rsidRPr="00000000">
        <w:rPr>
          <w:rFonts w:ascii="Tahoma" w:cs="Tahoma" w:eastAsia="Tahoma" w:hAnsi="Tahoma"/>
          <w:rtl w:val="0"/>
        </w:rPr>
        <w:t xml:space="preserve">Le Health Data Hub c’est : </w:t>
      </w:r>
    </w:p>
    <w:p w:rsidR="00000000" w:rsidDel="00000000" w:rsidP="00000000" w:rsidRDefault="00000000" w:rsidRPr="00000000" w14:paraId="0000000B">
      <w:pPr>
        <w:numPr>
          <w:ilvl w:val="0"/>
          <w:numId w:val="4"/>
        </w:numPr>
        <w:spacing w:line="240" w:lineRule="auto"/>
        <w:ind w:left="720" w:hanging="360"/>
        <w:rPr>
          <w:rFonts w:ascii="Tahoma" w:cs="Tahoma" w:eastAsia="Tahoma" w:hAnsi="Tahoma"/>
        </w:rPr>
      </w:pPr>
      <w:r w:rsidDel="00000000" w:rsidR="00000000" w:rsidRPr="00000000">
        <w:rPr>
          <w:rFonts w:ascii="Tahoma" w:cs="Tahoma" w:eastAsia="Tahoma" w:hAnsi="Tahoma"/>
          <w:rtl w:val="0"/>
        </w:rPr>
        <w:t xml:space="preserve">Une plateforme technologique à l’état de l’art disponible pour héberger les premiers projets de recherche </w:t>
      </w:r>
    </w:p>
    <w:p w:rsidR="00000000" w:rsidDel="00000000" w:rsidP="00000000" w:rsidRDefault="00000000" w:rsidRPr="00000000" w14:paraId="0000000C">
      <w:pPr>
        <w:numPr>
          <w:ilvl w:val="0"/>
          <w:numId w:val="4"/>
        </w:numPr>
        <w:spacing w:line="240" w:lineRule="auto"/>
        <w:ind w:left="720" w:hanging="360"/>
        <w:rPr>
          <w:rFonts w:ascii="Tahoma" w:cs="Tahoma" w:eastAsia="Tahoma" w:hAnsi="Tahoma"/>
        </w:rPr>
      </w:pPr>
      <w:r w:rsidDel="00000000" w:rsidR="00000000" w:rsidRPr="00000000">
        <w:rPr>
          <w:rFonts w:ascii="Tahoma" w:cs="Tahoma" w:eastAsia="Tahoma" w:hAnsi="Tahoma"/>
          <w:rtl w:val="0"/>
        </w:rPr>
        <w:t xml:space="preserve">Une équipe pluridisciplinaire d’une cinquantaine personnes impliquées dans un projet ambitieux  au service de l’intérêt général</w:t>
      </w:r>
    </w:p>
    <w:p w:rsidR="00000000" w:rsidDel="00000000" w:rsidP="00000000" w:rsidRDefault="00000000" w:rsidRPr="00000000" w14:paraId="0000000D">
      <w:pPr>
        <w:numPr>
          <w:ilvl w:val="0"/>
          <w:numId w:val="4"/>
        </w:numPr>
        <w:spacing w:line="240" w:lineRule="auto"/>
        <w:ind w:left="720" w:hanging="360"/>
        <w:rPr>
          <w:rFonts w:ascii="Tahoma" w:cs="Tahoma" w:eastAsia="Tahoma" w:hAnsi="Tahoma"/>
        </w:rPr>
      </w:pPr>
      <w:r w:rsidDel="00000000" w:rsidR="00000000" w:rsidRPr="00000000">
        <w:rPr>
          <w:rFonts w:ascii="Tahoma" w:cs="Tahoma" w:eastAsia="Tahoma" w:hAnsi="Tahoma"/>
          <w:rtl w:val="0"/>
        </w:rPr>
        <w:t xml:space="preserve">Près de 1 pétaoctet de données de santé traitées par an lorsque le HDH aura atteint son régime de croisière</w:t>
      </w:r>
    </w:p>
    <w:p w:rsidR="00000000" w:rsidDel="00000000" w:rsidP="00000000" w:rsidRDefault="00000000" w:rsidRPr="00000000" w14:paraId="0000000E">
      <w:pPr>
        <w:numPr>
          <w:ilvl w:val="0"/>
          <w:numId w:val="4"/>
        </w:numPr>
        <w:spacing w:after="200" w:line="240" w:lineRule="auto"/>
        <w:ind w:left="720" w:hanging="360"/>
        <w:rPr>
          <w:rFonts w:ascii="Tahoma" w:cs="Tahoma" w:eastAsia="Tahoma" w:hAnsi="Tahoma"/>
        </w:rPr>
      </w:pPr>
      <w:r w:rsidDel="00000000" w:rsidR="00000000" w:rsidRPr="00000000">
        <w:rPr>
          <w:rFonts w:ascii="Tahoma" w:cs="Tahoma" w:eastAsia="Tahoma" w:hAnsi="Tahoma"/>
          <w:rtl w:val="0"/>
        </w:rPr>
        <w:t xml:space="preserve">28 projets pilotes accompagnés - Exemples : </w:t>
      </w:r>
    </w:p>
    <w:p w:rsidR="00000000" w:rsidDel="00000000" w:rsidP="00000000" w:rsidRDefault="00000000" w:rsidRPr="00000000" w14:paraId="0000000F">
      <w:pPr>
        <w:numPr>
          <w:ilvl w:val="0"/>
          <w:numId w:val="3"/>
        </w:numPr>
        <w:spacing w:after="200" w:before="0" w:line="240" w:lineRule="auto"/>
        <w:ind w:left="720" w:hanging="360"/>
        <w:rPr>
          <w:rFonts w:ascii="Tahoma" w:cs="Tahoma" w:eastAsia="Tahoma" w:hAnsi="Tahoma"/>
        </w:rPr>
      </w:pPr>
      <w:r w:rsidDel="00000000" w:rsidR="00000000" w:rsidRPr="00000000">
        <w:rPr>
          <w:rFonts w:ascii="Tahoma" w:cs="Tahoma" w:eastAsia="Tahoma" w:hAnsi="Tahoma"/>
          <w:rtl w:val="0"/>
        </w:rPr>
        <w:t xml:space="preserve">Analyse du non recours au soin pendant le confinement à partir des résumés de passages aux urgences</w:t>
      </w:r>
    </w:p>
    <w:p w:rsidR="00000000" w:rsidDel="00000000" w:rsidP="00000000" w:rsidRDefault="00000000" w:rsidRPr="00000000" w14:paraId="00000010">
      <w:pPr>
        <w:numPr>
          <w:ilvl w:val="0"/>
          <w:numId w:val="3"/>
        </w:numPr>
        <w:spacing w:line="240" w:lineRule="auto"/>
        <w:ind w:left="720" w:hanging="360"/>
        <w:rPr>
          <w:rFonts w:ascii="Tahoma" w:cs="Tahoma" w:eastAsia="Tahoma" w:hAnsi="Tahoma"/>
        </w:rPr>
      </w:pPr>
      <w:r w:rsidDel="00000000" w:rsidR="00000000" w:rsidRPr="00000000">
        <w:rPr>
          <w:rFonts w:ascii="Tahoma" w:cs="Tahoma" w:eastAsia="Tahoma" w:hAnsi="Tahoma"/>
          <w:rtl w:val="0"/>
        </w:rPr>
        <w:t xml:space="preserve">Etude de l’impact et des traitements sur des données de vie réelle afin d’identifier les meilleurs schémas thérapeutiques pour le traitement du sarcome </w:t>
      </w:r>
    </w:p>
    <w:p w:rsidR="00000000" w:rsidDel="00000000" w:rsidP="00000000" w:rsidRDefault="00000000" w:rsidRPr="00000000" w14:paraId="00000011">
      <w:pPr>
        <w:numPr>
          <w:ilvl w:val="0"/>
          <w:numId w:val="3"/>
        </w:numPr>
        <w:spacing w:before="0" w:line="240" w:lineRule="auto"/>
        <w:ind w:left="720" w:hanging="360"/>
        <w:rPr>
          <w:rFonts w:ascii="Tahoma" w:cs="Tahoma" w:eastAsia="Tahoma" w:hAnsi="Tahoma"/>
        </w:rPr>
      </w:pPr>
      <w:r w:rsidDel="00000000" w:rsidR="00000000" w:rsidRPr="00000000">
        <w:rPr>
          <w:rFonts w:ascii="Tahoma" w:cs="Tahoma" w:eastAsia="Tahoma" w:hAnsi="Tahoma"/>
          <w:rtl w:val="0"/>
        </w:rPr>
        <w:t xml:space="preserve">Evaluation de l’apport de l’IA dans le dépistage organisé du cancer du sein</w:t>
      </w:r>
    </w:p>
    <w:p w:rsidR="00000000" w:rsidDel="00000000" w:rsidP="00000000" w:rsidRDefault="00000000" w:rsidRPr="00000000" w14:paraId="00000012">
      <w:pPr>
        <w:spacing w:before="0" w:line="240" w:lineRule="auto"/>
        <w:rPr/>
      </w:pPr>
      <w:r w:rsidDel="00000000" w:rsidR="00000000" w:rsidRPr="00000000">
        <w:rPr>
          <w:rtl w:val="0"/>
        </w:rPr>
      </w:r>
    </w:p>
    <w:p w:rsidR="00000000" w:rsidDel="00000000" w:rsidP="00000000" w:rsidRDefault="00000000" w:rsidRPr="00000000" w14:paraId="00000013">
      <w:pPr>
        <w:spacing w:before="0" w:line="240" w:lineRule="auto"/>
        <w:jc w:val="both"/>
        <w:rPr>
          <w:rFonts w:ascii="Tahoma" w:cs="Tahoma" w:eastAsia="Tahoma" w:hAnsi="Tahoma"/>
        </w:rPr>
      </w:pPr>
      <w:r w:rsidDel="00000000" w:rsidR="00000000" w:rsidRPr="00000000">
        <w:rPr>
          <w:rFonts w:ascii="Tahoma" w:cs="Tahoma" w:eastAsia="Tahoma" w:hAnsi="Tahoma"/>
          <w:rtl w:val="0"/>
        </w:rPr>
        <w:t xml:space="preserve">Le HDH porte une mission de facilitation de la recherche médicale, et de ce fait est un vecteur d’amélioration de la vie des patients. Au cœur des enjeux du numérique et de la santé, il est porté par une équipe dynamique qui contribue au partage de la connaissance à travers l’open source.</w:t>
      </w:r>
    </w:p>
    <w:p w:rsidR="00000000" w:rsidDel="00000000" w:rsidP="00000000" w:rsidRDefault="00000000" w:rsidRPr="00000000" w14:paraId="00000014">
      <w:pPr>
        <w:spacing w:before="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5">
      <w:pPr>
        <w:spacing w:before="0" w:line="240" w:lineRule="auto"/>
        <w:jc w:val="both"/>
        <w:rPr>
          <w:rFonts w:ascii="Tahoma" w:cs="Tahoma" w:eastAsia="Tahoma" w:hAnsi="Tahoma"/>
          <w:color w:val="000000"/>
        </w:rPr>
      </w:pPr>
      <w:r w:rsidDel="00000000" w:rsidR="00000000" w:rsidRPr="00000000">
        <w:rPr>
          <w:rFonts w:ascii="Tahoma" w:cs="Tahoma" w:eastAsia="Tahoma" w:hAnsi="Tahoma"/>
          <w:rtl w:val="0"/>
        </w:rPr>
        <w:t xml:space="preserve">Plus d'informations sur le Health Data Hub et son équipe sur notre </w:t>
      </w:r>
      <w:hyperlink r:id="rId7">
        <w:r w:rsidDel="00000000" w:rsidR="00000000" w:rsidRPr="00000000">
          <w:rPr>
            <w:rFonts w:ascii="Tahoma" w:cs="Tahoma" w:eastAsia="Tahoma" w:hAnsi="Tahoma"/>
            <w:u w:val="single"/>
            <w:rtl w:val="0"/>
          </w:rPr>
          <w:t xml:space="preserve">site</w:t>
        </w:r>
      </w:hyperlink>
      <w:r w:rsidDel="00000000" w:rsidR="00000000" w:rsidRPr="00000000">
        <w:rPr>
          <w:rFonts w:ascii="Tahoma" w:cs="Tahoma" w:eastAsia="Tahoma" w:hAnsi="Tahoma"/>
          <w:u w:val="single"/>
          <w:rtl w:val="0"/>
        </w:rPr>
        <w:t xml:space="preserve">.</w:t>
      </w:r>
      <w:r w:rsidDel="00000000" w:rsidR="00000000" w:rsidRPr="00000000">
        <w:rPr>
          <w:rtl w:val="0"/>
        </w:rPr>
      </w:r>
    </w:p>
    <w:p w:rsidR="00000000" w:rsidDel="00000000" w:rsidP="00000000" w:rsidRDefault="00000000" w:rsidRPr="00000000" w14:paraId="00000016">
      <w:pPr>
        <w:spacing w:after="200" w:before="480" w:line="240" w:lineRule="auto"/>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CONTEXTE </w:t>
      </w:r>
      <w:r w:rsidDel="00000000" w:rsidR="00000000" w:rsidRPr="00000000">
        <w:rPr>
          <w:rFonts w:ascii="Tahoma" w:cs="Tahoma" w:eastAsia="Tahoma" w:hAnsi="Tahoma"/>
          <w:b w:val="1"/>
          <w:color w:val="036287"/>
          <w:rtl w:val="0"/>
        </w:rPr>
        <w:t xml:space="preserve">DU POSTE</w:t>
      </w:r>
    </w:p>
    <w:p w:rsidR="00000000" w:rsidDel="00000000" w:rsidP="00000000" w:rsidRDefault="00000000" w:rsidRPr="00000000" w14:paraId="00000017">
      <w:pPr>
        <w:spacing w:after="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La Direction de la communication intervient en support des autres directions, pour contribuer à développer la notoriété du Health Data Hub, communiquer sur les actions menées, les projets accompagnés et mettre en valeur la position du Health Data Hub dans l’écosystème national, européen et international. Elle interagit avec les différents acteurs académiques, industriels et institutionnels de l’écosystème de santé numérique.</w:t>
      </w:r>
    </w:p>
    <w:p w:rsidR="00000000" w:rsidDel="00000000" w:rsidP="00000000" w:rsidRDefault="00000000" w:rsidRPr="00000000" w14:paraId="00000018">
      <w:pPr>
        <w:spacing w:after="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Dans le cadre de sa mission d’animation de l’écosystème, le Health Data Hub est moteur pour l’organisation d’événements modernes, fédérateurs, au rayonnement international. A titre d’exemple, le Health Data Hub lance des appels à projets, organise des colloques et des data challenges pour favoriser l'open data et contribuer au rayonnement international. Par ailleurs, le Health Data Hub favorise l’échange et les rencontres d’acteurs divers (entrepreneurs, académiques...) pour promouvoir les partenariats et l’innovation. En ce sens, il travaille sur la structuration d’un réseau de chercheurs affiliés au Health Data Hub. Au niveau européen, le Health Data Hub a été désigné autorité compétente pour la France pour l'action conjointe pour un espace européen des données sur la santé (</w:t>
      </w:r>
      <w:hyperlink r:id="rId8">
        <w:r w:rsidDel="00000000" w:rsidR="00000000" w:rsidRPr="00000000">
          <w:rPr>
            <w:rFonts w:ascii="Tahoma" w:cs="Tahoma" w:eastAsia="Tahoma" w:hAnsi="Tahoma"/>
            <w:color w:val="000000"/>
            <w:rtl w:val="0"/>
          </w:rPr>
          <w:t xml:space="preserve">TEHDaS</w:t>
        </w:r>
      </w:hyperlink>
      <w:r w:rsidDel="00000000" w:rsidR="00000000" w:rsidRPr="00000000">
        <w:rPr>
          <w:rFonts w:ascii="Tahoma" w:cs="Tahoma" w:eastAsia="Tahoma" w:hAnsi="Tahoma"/>
          <w:color w:val="000000"/>
          <w:rtl w:val="0"/>
        </w:rPr>
        <w:t xml:space="preserve">), dans le cadre du troisième Programme Santé de l’Union européenne.</w:t>
      </w:r>
    </w:p>
    <w:p w:rsidR="00000000" w:rsidDel="00000000" w:rsidP="00000000" w:rsidRDefault="00000000" w:rsidRPr="00000000" w14:paraId="00000019">
      <w:pPr>
        <w:spacing w:after="240" w:lineRule="auto"/>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Présentation de l'événement AI4Health</w:t>
      </w:r>
    </w:p>
    <w:p w:rsidR="00000000" w:rsidDel="00000000" w:rsidP="00000000" w:rsidRDefault="00000000" w:rsidRPr="00000000" w14:paraId="0000001A">
      <w:pPr>
        <w:spacing w:after="240" w:lineRule="auto"/>
        <w:jc w:val="both"/>
        <w:rPr>
          <w:rFonts w:ascii="Tahoma" w:cs="Tahoma" w:eastAsia="Tahoma" w:hAnsi="Tahoma"/>
          <w:color w:val="000000"/>
        </w:rPr>
      </w:pPr>
      <w:hyperlink r:id="rId9">
        <w:r w:rsidDel="00000000" w:rsidR="00000000" w:rsidRPr="00000000">
          <w:rPr>
            <w:rFonts w:ascii="Tahoma" w:cs="Tahoma" w:eastAsia="Tahoma" w:hAnsi="Tahoma"/>
            <w:color w:val="000000"/>
            <w:rtl w:val="0"/>
          </w:rPr>
          <w:t xml:space="preserve">Le cycle d’Ecoles AI4Health</w:t>
        </w:r>
      </w:hyperlink>
      <w:r w:rsidDel="00000000" w:rsidR="00000000" w:rsidRPr="00000000">
        <w:rPr>
          <w:rFonts w:ascii="Tahoma" w:cs="Tahoma" w:eastAsia="Tahoma" w:hAnsi="Tahoma"/>
          <w:color w:val="000000"/>
          <w:rtl w:val="0"/>
        </w:rPr>
        <w:t xml:space="preserve"> sont des événements annuels 100% digital, en anglais, organisés par le Health Data Hub et les trois Instituts Interdisciplinaires d’Intelligence Artificielle (3IA) MIAI (Grenoble), 3IA Côte d’Azur (Nice) et Prairie (Paris), en collaboration avec l’Institut du cerveau et de la moelle épinière (ICM) et l’Association Française d’Informatique Médicale (AIM). AI4Health vise à rassembler des scientifiques de renommée internationale, à l’intersection des domaines de l’intelligence artificielle et de la santé. AI4Health est ouvert à tout type d’acteur intéressé par le domaine de l’intelligence artificielle en santé. Ainsi, les Écoles accueillent aussi bien des étudiants (masters/post-docs), des académiques et membres d’institutions publiques, que des professionnels issus du secteur privé. AI4Health se déroule en deux parties : des séances plénières sur des sujets divers en lien avec l’intelligence artificielle en santé et des sessions pratiques.</w:t>
      </w:r>
    </w:p>
    <w:p w:rsidR="00000000" w:rsidDel="00000000" w:rsidP="00000000" w:rsidRDefault="00000000" w:rsidRPr="00000000" w14:paraId="0000001B">
      <w:pPr>
        <w:spacing w:after="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La</w:t>
      </w:r>
      <w:hyperlink r:id="rId10">
        <w:r w:rsidDel="00000000" w:rsidR="00000000" w:rsidRPr="00000000">
          <w:rPr>
            <w:rFonts w:ascii="Tahoma" w:cs="Tahoma" w:eastAsia="Tahoma" w:hAnsi="Tahoma"/>
            <w:color w:val="000000"/>
            <w:rtl w:val="0"/>
          </w:rPr>
          <w:t xml:space="preserve"> première édition d’AI4Health</w:t>
        </w:r>
      </w:hyperlink>
      <w:r w:rsidDel="00000000" w:rsidR="00000000" w:rsidRPr="00000000">
        <w:rPr>
          <w:rFonts w:ascii="Tahoma" w:cs="Tahoma" w:eastAsia="Tahoma" w:hAnsi="Tahoma"/>
          <w:color w:val="000000"/>
          <w:rtl w:val="0"/>
        </w:rPr>
        <w:t xml:space="preserve"> qui s’est déroulée en Janvier 2021 (Winter School) a été un grand succès. L'École d’hiver a réussi à rassembler plus de 400 participants internationaux aux profils extrêmement divers.</w:t>
      </w:r>
    </w:p>
    <w:p w:rsidR="00000000" w:rsidDel="00000000" w:rsidP="00000000" w:rsidRDefault="00000000" w:rsidRPr="00000000" w14:paraId="0000001C">
      <w:pPr>
        <w:spacing w:after="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La prochaine édition d’AI4Health se déroulera en janvier 2022, comme la précédente en anglais et sur une plateforme virtuelle dédiée.</w:t>
      </w:r>
    </w:p>
    <w:p w:rsidR="00000000" w:rsidDel="00000000" w:rsidP="00000000" w:rsidRDefault="00000000" w:rsidRPr="00000000" w14:paraId="0000001D">
      <w:pPr>
        <w:spacing w:after="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La Direction de la communication souhaite se doter d’un/une chargé(e) de communication événementielle, dont la mission principale sera le suivi de projet de cet événement, qui le suivra de sa conception au bilan de l’opération, en lien étroit avec la direction métier qui initie l’événement. Le/la chargé(e) de communication œuvrera également à la promotion d’autres actions de communication du Health Data Hub, en soutien de l’équipe actuelle.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480" w:line="240" w:lineRule="auto"/>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DESCRIPTIF DU POSTE</w:t>
      </w:r>
    </w:p>
    <w:p w:rsidR="00000000" w:rsidDel="00000000" w:rsidP="00000000" w:rsidRDefault="00000000" w:rsidRPr="00000000" w14:paraId="0000001F">
      <w:pPr>
        <w:spacing w:after="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Au sein de la Direction de la communication et en interaction étroite avec la Direction scientifique, le/la chargé(e) de communication aura pour mission l’organisation de l'événement AI4Health. Il/Elle sera l’interlocuteur/interlocutrice principal(e) de nos partenaires externes et mobilisera d’autres membres de l’équipe en fonction du besoin. Il/elle participera à l’ensemble des actions de communication du Health Data Hub, en soutien et en relais des membres de la Direction de la communication.</w:t>
      </w:r>
    </w:p>
    <w:p w:rsidR="00000000" w:rsidDel="00000000" w:rsidP="00000000" w:rsidRDefault="00000000" w:rsidRPr="00000000" w14:paraId="00000020">
      <w:pPr>
        <w:spacing w:after="240" w:lineRule="auto"/>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Assurer la gestion de projet de bout-en-bout de l’école AI4Health</w:t>
      </w:r>
    </w:p>
    <w:p w:rsidR="00000000" w:rsidDel="00000000" w:rsidP="00000000" w:rsidRDefault="00000000" w:rsidRPr="00000000" w14:paraId="00000021">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Organiser la démarche projet bout-en-bout pour organiser la prochaine édition AI4Health (juin 2021-Février 2022)</w:t>
      </w:r>
    </w:p>
    <w:p w:rsidR="00000000" w:rsidDel="00000000" w:rsidP="00000000" w:rsidRDefault="00000000" w:rsidRPr="00000000" w14:paraId="00000022">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Participer à la construction et à la mise en œuvre des actions de communication AI4Health</w:t>
      </w:r>
    </w:p>
    <w:p w:rsidR="00000000" w:rsidDel="00000000" w:rsidP="00000000" w:rsidRDefault="00000000" w:rsidRPr="00000000" w14:paraId="00000023">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Gérer les enjeux logistiques et les relations avec divers prestataires</w:t>
      </w:r>
    </w:p>
    <w:p w:rsidR="00000000" w:rsidDel="00000000" w:rsidP="00000000" w:rsidRDefault="00000000" w:rsidRPr="00000000" w14:paraId="00000024">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Identifier, gérer et fidéliser les partenaires AI4Health,</w:t>
      </w:r>
    </w:p>
    <w:p w:rsidR="00000000" w:rsidDel="00000000" w:rsidP="00000000" w:rsidRDefault="00000000" w:rsidRPr="00000000" w14:paraId="00000025">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Lancer, mettre en place et suivre les inscriptions et participations à AI4Health</w:t>
      </w:r>
    </w:p>
    <w:p w:rsidR="00000000" w:rsidDel="00000000" w:rsidP="00000000" w:rsidRDefault="00000000" w:rsidRPr="00000000" w14:paraId="00000026">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Mettre en place d’un système de paiement et suivre les paiements des participants AI4Health</w:t>
      </w:r>
    </w:p>
    <w:p w:rsidR="00000000" w:rsidDel="00000000" w:rsidP="00000000" w:rsidRDefault="00000000" w:rsidRPr="00000000" w14:paraId="00000027">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Gérer le budget de l'événement</w:t>
      </w:r>
    </w:p>
    <w:p w:rsidR="00000000" w:rsidDel="00000000" w:rsidP="00000000" w:rsidRDefault="00000000" w:rsidRPr="00000000" w14:paraId="00000028">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Assurer le contrôle qualité</w:t>
      </w:r>
    </w:p>
    <w:p w:rsidR="00000000" w:rsidDel="00000000" w:rsidP="00000000" w:rsidRDefault="00000000" w:rsidRPr="00000000" w14:paraId="00000029">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Evaluer le processus organisationnel et organiser la prise en compte des retours d’expérience à l’issue de l’école AI4Health, dans une perspective d’amélioration continue</w:t>
      </w:r>
    </w:p>
    <w:p w:rsidR="00000000" w:rsidDel="00000000" w:rsidP="00000000" w:rsidRDefault="00000000" w:rsidRPr="00000000" w14:paraId="0000002A">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Assurer le bilan de l’événement</w:t>
      </w:r>
    </w:p>
    <w:p w:rsidR="00000000" w:rsidDel="00000000" w:rsidP="00000000" w:rsidRDefault="00000000" w:rsidRPr="00000000" w14:paraId="0000002B">
      <w:pPr>
        <w:spacing w:after="240" w:lineRule="auto"/>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Conduire ou accompagner les projets de la Direction de la communication</w:t>
      </w:r>
    </w:p>
    <w:p w:rsidR="00000000" w:rsidDel="00000000" w:rsidP="00000000" w:rsidRDefault="00000000" w:rsidRPr="00000000" w14:paraId="0000002C">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Collaborer avec les membres de la Direction de communication pour produire les supports de communication (notes officielles, présentations, éléments de langage, communiqués de presse, etc.)</w:t>
      </w:r>
    </w:p>
    <w:p w:rsidR="00000000" w:rsidDel="00000000" w:rsidP="00000000" w:rsidRDefault="00000000" w:rsidRPr="00000000" w14:paraId="0000002D">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Echanger de bonnes pratiques avec les autres projets et capitaliser sur les actions en cours afin d’élaborer un toolkit pour l’organisation de ces événements ainsi que de la documentation utile (cartographie d’acteurs, etc.)</w:t>
      </w:r>
    </w:p>
    <w:p w:rsidR="00000000" w:rsidDel="00000000" w:rsidP="00000000" w:rsidRDefault="00000000" w:rsidRPr="00000000" w14:paraId="0000002E">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Appuyer la direction de la communication, notamment pour communiquer autour de ces projets d’animation de l’écosystème de la donnée santé</w:t>
      </w:r>
    </w:p>
    <w:p w:rsidR="00000000" w:rsidDel="00000000" w:rsidP="00000000" w:rsidRDefault="00000000" w:rsidRPr="00000000" w14:paraId="0000002F">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Soutenir l’organisation de colloques, appel à projets…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480" w:line="240" w:lineRule="auto"/>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PROFIL RECHERCHE</w:t>
      </w:r>
    </w:p>
    <w:p w:rsidR="00000000" w:rsidDel="00000000" w:rsidP="00000000" w:rsidRDefault="00000000" w:rsidRPr="00000000" w14:paraId="00000031">
      <w:pPr>
        <w:spacing w:after="240" w:lineRule="auto"/>
        <w:jc w:val="both"/>
        <w:rPr>
          <w:rFonts w:ascii="Tahoma" w:cs="Tahoma" w:eastAsia="Tahoma" w:hAnsi="Tahoma"/>
          <w:color w:val="000000"/>
        </w:rPr>
      </w:pPr>
      <w:bookmarkStart w:colFirst="0" w:colLast="0" w:name="_heading=h.x1x5nzea5wb8" w:id="5"/>
      <w:bookmarkEnd w:id="5"/>
      <w:r w:rsidDel="00000000" w:rsidR="00000000" w:rsidRPr="00000000">
        <w:rPr>
          <w:rFonts w:ascii="Tahoma" w:cs="Tahoma" w:eastAsia="Tahoma" w:hAnsi="Tahoma"/>
          <w:color w:val="000000"/>
          <w:rtl w:val="0"/>
        </w:rPr>
        <w:t xml:space="preserve">Vous possédez une solide expérience en communication événementielle dont événementiel 100% digital (7 ans ou plus) et en gestion de projet, si possible dans un contexte international. Vous maitrisez parfaitement l’anglais. Vous êtes titulaire d’un diplôme d’une école de communication ou d’école de commerce, avec une dominante en communication événementielle. Une connaissance de l’écosystème de la santé numérique, des données de santé ainsi que du contexte institutionnel du Health Data Hub serait un plus.</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284"/>
        </w:tabs>
        <w:spacing w:before="0" w:line="276" w:lineRule="auto"/>
        <w:jc w:val="both"/>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284"/>
        </w:tabs>
        <w:spacing w:before="0" w:line="276" w:lineRule="auto"/>
        <w:jc w:val="both"/>
        <w:rPr>
          <w:rFonts w:ascii="Tahoma" w:cs="Tahoma" w:eastAsia="Tahoma" w:hAnsi="Tahoma"/>
          <w:b w:val="1"/>
          <w:color w:val="000000"/>
        </w:rPr>
      </w:pPr>
      <w:bookmarkStart w:colFirst="0" w:colLast="0" w:name="_heading=h.8315qlwvbbtl" w:id="6"/>
      <w:bookmarkEnd w:id="6"/>
      <w:r w:rsidDel="00000000" w:rsidR="00000000" w:rsidRPr="00000000">
        <w:rPr>
          <w:rFonts w:ascii="Tahoma" w:cs="Tahoma" w:eastAsia="Tahoma" w:hAnsi="Tahoma"/>
          <w:b w:val="1"/>
          <w:color w:val="000000"/>
          <w:rtl w:val="0"/>
        </w:rPr>
        <w:t xml:space="preserve">Compétences techniques</w:t>
      </w:r>
    </w:p>
    <w:p w:rsidR="00000000" w:rsidDel="00000000" w:rsidP="00000000" w:rsidRDefault="00000000" w:rsidRPr="00000000" w14:paraId="00000034">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Capacité à structurer, piloter, et mener en mode agile des projets d’animation ou de communication</w:t>
      </w:r>
    </w:p>
    <w:p w:rsidR="00000000" w:rsidDel="00000000" w:rsidP="00000000" w:rsidRDefault="00000000" w:rsidRPr="00000000" w14:paraId="00000035">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Intérêt pour l’événementiel, la communication et l’animation de communautés d’usagers et publics scientifiques</w:t>
      </w:r>
    </w:p>
    <w:p w:rsidR="00000000" w:rsidDel="00000000" w:rsidP="00000000" w:rsidRDefault="00000000" w:rsidRPr="00000000" w14:paraId="00000036">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Expérience dans la gestion de grands événements, de préférence virtuels</w:t>
      </w:r>
    </w:p>
    <w:p w:rsidR="00000000" w:rsidDel="00000000" w:rsidP="00000000" w:rsidRDefault="00000000" w:rsidRPr="00000000" w14:paraId="00000037">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Maîtrise de l’anglais et du français (C2 minimum), orthographe irréprochable</w:t>
      </w:r>
    </w:p>
    <w:p w:rsidR="00000000" w:rsidDel="00000000" w:rsidP="00000000" w:rsidRDefault="00000000" w:rsidRPr="00000000" w14:paraId="00000038">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Capacité à se saisir de nouveaux sujets et de monter en compétences rapidement </w:t>
      </w:r>
    </w:p>
    <w:p w:rsidR="00000000" w:rsidDel="00000000" w:rsidP="00000000" w:rsidRDefault="00000000" w:rsidRPr="00000000" w14:paraId="00000039">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Connaissances de base relatives à l’écosystème de la donnée et/ou de la santé</w:t>
      </w:r>
    </w:p>
    <w:p w:rsidR="00000000" w:rsidDel="00000000" w:rsidP="00000000" w:rsidRDefault="00000000" w:rsidRPr="00000000" w14:paraId="0000003A">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Maîtrise logiciels : Pack Office (Word, Excel, Powerpoint, Outlook), Teams, Zoom, Slack, Wordpress, Photoshop serait un plus, </w:t>
      </w:r>
    </w:p>
    <w:p w:rsidR="00000000" w:rsidDel="00000000" w:rsidP="00000000" w:rsidRDefault="00000000" w:rsidRPr="00000000" w14:paraId="0000003B">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Connaissance des réseaux sociaux et expériences de Community management (Twitter et LinkedIn)</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284"/>
        </w:tabs>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284"/>
        </w:tabs>
        <w:spacing w:before="0" w:line="276" w:lineRule="auto"/>
        <w:jc w:val="both"/>
        <w:rPr>
          <w:rFonts w:ascii="Tahoma" w:cs="Tahoma" w:eastAsia="Tahoma" w:hAnsi="Tahoma"/>
          <w:b w:val="1"/>
          <w:color w:val="000000"/>
        </w:rPr>
      </w:pPr>
      <w:bookmarkStart w:colFirst="0" w:colLast="0" w:name="_heading=h.dzcylimgzqsv" w:id="7"/>
      <w:bookmarkEnd w:id="7"/>
      <w:r w:rsidDel="00000000" w:rsidR="00000000" w:rsidRPr="00000000">
        <w:rPr>
          <w:rFonts w:ascii="Tahoma" w:cs="Tahoma" w:eastAsia="Tahoma" w:hAnsi="Tahoma"/>
          <w:b w:val="1"/>
          <w:color w:val="000000"/>
          <w:rtl w:val="0"/>
        </w:rPr>
        <w:t xml:space="preserve">Compétences relationnelles</w:t>
      </w:r>
    </w:p>
    <w:p w:rsidR="00000000" w:rsidDel="00000000" w:rsidP="00000000" w:rsidRDefault="00000000" w:rsidRPr="00000000" w14:paraId="0000003E">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Grande capacité d’adaptation</w:t>
      </w:r>
    </w:p>
    <w:p w:rsidR="00000000" w:rsidDel="00000000" w:rsidP="00000000" w:rsidRDefault="00000000" w:rsidRPr="00000000" w14:paraId="0000003F">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Excellent sens de l’organisation et des priorités, capacité à gérer plusieurs projets en parallèle</w:t>
      </w:r>
    </w:p>
    <w:p w:rsidR="00000000" w:rsidDel="00000000" w:rsidP="00000000" w:rsidRDefault="00000000" w:rsidRPr="00000000" w14:paraId="00000040">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Rigueur, attention au détail</w:t>
      </w:r>
    </w:p>
    <w:p w:rsidR="00000000" w:rsidDel="00000000" w:rsidP="00000000" w:rsidRDefault="00000000" w:rsidRPr="00000000" w14:paraId="00000041">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Réactivité, forte disponibilité</w:t>
      </w:r>
    </w:p>
    <w:p w:rsidR="00000000" w:rsidDel="00000000" w:rsidP="00000000" w:rsidRDefault="00000000" w:rsidRPr="00000000" w14:paraId="00000042">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Adaptabilité</w:t>
      </w:r>
    </w:p>
    <w:p w:rsidR="00000000" w:rsidDel="00000000" w:rsidP="00000000" w:rsidRDefault="00000000" w:rsidRPr="00000000" w14:paraId="00000043">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Travail en équipe et ouverture d’esprit</w:t>
      </w:r>
    </w:p>
    <w:p w:rsidR="00000000" w:rsidDel="00000000" w:rsidP="00000000" w:rsidRDefault="00000000" w:rsidRPr="00000000" w14:paraId="00000044">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Sens du relationnel, diplomatie</w:t>
      </w:r>
    </w:p>
    <w:p w:rsidR="00000000" w:rsidDel="00000000" w:rsidP="00000000" w:rsidRDefault="00000000" w:rsidRPr="00000000" w14:paraId="00000045">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Autonomie</w:t>
      </w:r>
    </w:p>
    <w:p w:rsidR="00000000" w:rsidDel="00000000" w:rsidP="00000000" w:rsidRDefault="00000000" w:rsidRPr="00000000" w14:paraId="00000046">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Sens de l’initiative</w:t>
      </w:r>
    </w:p>
    <w:p w:rsidR="00000000" w:rsidDel="00000000" w:rsidP="00000000" w:rsidRDefault="00000000" w:rsidRPr="00000000" w14:paraId="00000047">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Polyvalence</w:t>
      </w:r>
    </w:p>
    <w:p w:rsidR="00000000" w:rsidDel="00000000" w:rsidP="00000000" w:rsidRDefault="00000000" w:rsidRPr="00000000" w14:paraId="00000048">
      <w:pPr>
        <w:numPr>
          <w:ilvl w:val="0"/>
          <w:numId w:val="2"/>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Esprit positif</w:t>
      </w:r>
    </w:p>
    <w:p w:rsidR="00000000" w:rsidDel="00000000" w:rsidP="00000000" w:rsidRDefault="00000000" w:rsidRPr="00000000" w14:paraId="00000049">
      <w:pPr>
        <w:tabs>
          <w:tab w:val="right" w:pos="8010"/>
        </w:tabs>
        <w:spacing w:before="0" w:line="276" w:lineRule="auto"/>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4A">
      <w:pPr>
        <w:tabs>
          <w:tab w:val="right" w:pos="8010"/>
        </w:tabs>
        <w:spacing w:before="0" w:line="276" w:lineRule="auto"/>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4B">
      <w:pPr>
        <w:spacing w:before="0" w:line="259" w:lineRule="auto"/>
        <w:jc w:val="both"/>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POURQUOI CHOISIR LE HEALTH DATA HUB ?</w:t>
      </w:r>
    </w:p>
    <w:p w:rsidR="00000000" w:rsidDel="00000000" w:rsidP="00000000" w:rsidRDefault="00000000" w:rsidRPr="00000000" w14:paraId="0000004C">
      <w:pPr>
        <w:spacing w:before="0" w:line="259" w:lineRule="auto"/>
        <w:jc w:val="both"/>
        <w:rPr>
          <w:rFonts w:ascii="Tahoma" w:cs="Tahoma" w:eastAsia="Tahoma" w:hAnsi="Tahoma"/>
          <w:b w:val="1"/>
          <w:color w:val="036287"/>
        </w:rPr>
      </w:pPr>
      <w:r w:rsidDel="00000000" w:rsidR="00000000" w:rsidRPr="00000000">
        <w:rPr>
          <w:rtl w:val="0"/>
        </w:rPr>
      </w:r>
    </w:p>
    <w:p w:rsidR="00000000" w:rsidDel="00000000" w:rsidP="00000000" w:rsidRDefault="00000000" w:rsidRPr="00000000" w14:paraId="0000004D">
      <w:pPr>
        <w:numPr>
          <w:ilvl w:val="0"/>
          <w:numId w:val="5"/>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Mettre ses compétences au service de l’intérêt général</w:t>
      </w:r>
    </w:p>
    <w:p w:rsidR="00000000" w:rsidDel="00000000" w:rsidP="00000000" w:rsidRDefault="00000000" w:rsidRPr="00000000" w14:paraId="0000004E">
      <w:pPr>
        <w:numPr>
          <w:ilvl w:val="0"/>
          <w:numId w:val="5"/>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Intégrer une équipe jeune, dynamique et pluridisciplinaire</w:t>
      </w:r>
    </w:p>
    <w:p w:rsidR="00000000" w:rsidDel="00000000" w:rsidP="00000000" w:rsidRDefault="00000000" w:rsidRPr="00000000" w14:paraId="0000004F">
      <w:pPr>
        <w:numPr>
          <w:ilvl w:val="0"/>
          <w:numId w:val="5"/>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Intégrer une structure en forte croissance et avec de nombreuses possibilités d’évolution</w:t>
      </w:r>
    </w:p>
    <w:p w:rsidR="00000000" w:rsidDel="00000000" w:rsidP="00000000" w:rsidRDefault="00000000" w:rsidRPr="00000000" w14:paraId="00000050">
      <w:pPr>
        <w:numPr>
          <w:ilvl w:val="0"/>
          <w:numId w:val="5"/>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Évoluer dans un environnement technologique stimulant, varié et à l’état de l’art</w:t>
      </w:r>
    </w:p>
    <w:p w:rsidR="00000000" w:rsidDel="00000000" w:rsidP="00000000" w:rsidRDefault="00000000" w:rsidRPr="00000000" w14:paraId="00000051">
      <w:pPr>
        <w:numPr>
          <w:ilvl w:val="0"/>
          <w:numId w:val="5"/>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Rémunération attractive et compétitive</w:t>
      </w:r>
    </w:p>
    <w:p w:rsidR="00000000" w:rsidDel="00000000" w:rsidP="00000000" w:rsidRDefault="00000000" w:rsidRPr="00000000" w14:paraId="00000052">
      <w:pPr>
        <w:numPr>
          <w:ilvl w:val="0"/>
          <w:numId w:val="5"/>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Des bureaux au coeur de Paris</w:t>
      </w:r>
    </w:p>
    <w:p w:rsidR="00000000" w:rsidDel="00000000" w:rsidP="00000000" w:rsidRDefault="00000000" w:rsidRPr="00000000" w14:paraId="00000053">
      <w:pPr>
        <w:spacing w:before="0" w:line="259" w:lineRule="auto"/>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54">
      <w:pPr>
        <w:spacing w:before="0" w:line="259" w:lineRule="auto"/>
        <w:jc w:val="both"/>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PROCÉDURE DE RECRUTEMENT</w:t>
      </w:r>
    </w:p>
    <w:p w:rsidR="00000000" w:rsidDel="00000000" w:rsidP="00000000" w:rsidRDefault="00000000" w:rsidRPr="00000000" w14:paraId="00000055">
      <w:pPr>
        <w:spacing w:before="0" w:line="259" w:lineRule="auto"/>
        <w:jc w:val="both"/>
        <w:rPr>
          <w:rFonts w:ascii="Tahoma" w:cs="Tahoma" w:eastAsia="Tahoma" w:hAnsi="Tahoma"/>
        </w:rPr>
      </w:pPr>
      <w:r w:rsidDel="00000000" w:rsidR="00000000" w:rsidRPr="00000000">
        <w:rPr>
          <w:rFonts w:ascii="Tahoma" w:cs="Tahoma" w:eastAsia="Tahoma" w:hAnsi="Tahoma"/>
          <w:rtl w:val="0"/>
        </w:rPr>
        <w:t xml:space="preserve">Après avoir postulé, le recrutement se déroulera de la manière suivante : </w:t>
      </w:r>
    </w:p>
    <w:p w:rsidR="00000000" w:rsidDel="00000000" w:rsidP="00000000" w:rsidRDefault="00000000" w:rsidRPr="00000000" w14:paraId="00000056">
      <w:pPr>
        <w:numPr>
          <w:ilvl w:val="0"/>
          <w:numId w:val="6"/>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Un premier entretien avec le directeur de l’équipe</w:t>
      </w:r>
    </w:p>
    <w:p w:rsidR="00000000" w:rsidDel="00000000" w:rsidP="00000000" w:rsidRDefault="00000000" w:rsidRPr="00000000" w14:paraId="00000057">
      <w:pPr>
        <w:numPr>
          <w:ilvl w:val="0"/>
          <w:numId w:val="6"/>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Un test à réaliser chez soi</w:t>
      </w:r>
    </w:p>
    <w:p w:rsidR="00000000" w:rsidDel="00000000" w:rsidP="00000000" w:rsidRDefault="00000000" w:rsidRPr="00000000" w14:paraId="00000058">
      <w:pPr>
        <w:numPr>
          <w:ilvl w:val="0"/>
          <w:numId w:val="6"/>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Un entretien technique, basé sur le test</w:t>
      </w:r>
    </w:p>
    <w:p w:rsidR="00000000" w:rsidDel="00000000" w:rsidP="00000000" w:rsidRDefault="00000000" w:rsidRPr="00000000" w14:paraId="00000059">
      <w:pPr>
        <w:numPr>
          <w:ilvl w:val="0"/>
          <w:numId w:val="6"/>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Un entretien final avec la directrice du Health Data Hub </w:t>
      </w:r>
      <w:r w:rsidDel="00000000" w:rsidR="00000000" w:rsidRPr="00000000">
        <w:rPr>
          <w:rtl w:val="0"/>
        </w:rPr>
      </w:r>
    </w:p>
    <w:p w:rsidR="00000000" w:rsidDel="00000000" w:rsidP="00000000" w:rsidRDefault="00000000" w:rsidRPr="00000000" w14:paraId="0000005A">
      <w:pPr>
        <w:pStyle w:val="Heading2"/>
        <w:tabs>
          <w:tab w:val="right" w:pos="8010"/>
        </w:tabs>
        <w:ind w:firstLine="360"/>
        <w:rPr>
          <w:rFonts w:ascii="Tahoma" w:cs="Tahoma" w:eastAsia="Tahoma" w:hAnsi="Tahoma"/>
          <w:color w:val="353744"/>
          <w:sz w:val="22"/>
          <w:szCs w:val="22"/>
        </w:rPr>
      </w:pPr>
      <w:bookmarkStart w:colFirst="0" w:colLast="0" w:name="_heading=h.8uxgu5s4001c" w:id="8"/>
      <w:bookmarkEnd w:id="8"/>
      <w:r w:rsidDel="00000000" w:rsidR="00000000" w:rsidRPr="00000000">
        <w:rPr>
          <w:rtl w:val="0"/>
        </w:rPr>
      </w:r>
    </w:p>
    <w:p w:rsidR="00000000" w:rsidDel="00000000" w:rsidP="00000000" w:rsidRDefault="00000000" w:rsidRPr="00000000" w14:paraId="0000005B">
      <w:pPr>
        <w:tabs>
          <w:tab w:val="right" w:pos="8010"/>
        </w:tabs>
        <w:spacing w:before="0" w:line="276" w:lineRule="auto"/>
        <w:rPr>
          <w:rFonts w:ascii="Tahoma" w:cs="Tahoma" w:eastAsia="Tahoma" w:hAnsi="Tahoma"/>
          <w:color w:val="000000"/>
          <w:u w:val="single"/>
        </w:rPr>
      </w:pPr>
      <w:bookmarkStart w:colFirst="0" w:colLast="0" w:name="_heading=h.1nffyavpdyne" w:id="9"/>
      <w:bookmarkEnd w:id="9"/>
      <w:r w:rsidDel="00000000" w:rsidR="00000000" w:rsidRPr="00000000">
        <w:rPr>
          <w:rFonts w:ascii="Tahoma" w:cs="Tahoma" w:eastAsia="Tahoma" w:hAnsi="Tahoma"/>
          <w:b w:val="1"/>
          <w:rtl w:val="0"/>
        </w:rPr>
        <w:t xml:space="preserve">Pour postuler: </w:t>
      </w:r>
      <w:r w:rsidDel="00000000" w:rsidR="00000000" w:rsidRPr="00000000">
        <w:rPr>
          <w:rFonts w:ascii="Tahoma" w:cs="Tahoma" w:eastAsia="Tahoma" w:hAnsi="Tahoma"/>
          <w:color w:val="000000"/>
          <w:highlight w:val="white"/>
          <w:rtl w:val="0"/>
        </w:rPr>
        <w:t xml:space="preserve">CV et lettre de motivation à l’adresse</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color w:val="000000"/>
          <w:rtl w:val="0"/>
        </w:rPr>
        <w:t xml:space="preserve">jobs.communication@health-data-hub.fr</w:t>
      </w:r>
      <w:r w:rsidDel="00000000" w:rsidR="00000000" w:rsidRPr="00000000">
        <w:rPr>
          <w:rtl w:val="0"/>
        </w:rPr>
      </w:r>
    </w:p>
    <w:p w:rsidR="00000000" w:rsidDel="00000000" w:rsidP="00000000" w:rsidRDefault="00000000" w:rsidRPr="00000000" w14:paraId="0000005C">
      <w:pPr>
        <w:spacing w:after="60" w:before="60" w:lineRule="auto"/>
        <w:jc w:val="center"/>
        <w:rPr>
          <w:rFonts w:ascii="Tahoma" w:cs="Tahoma" w:eastAsia="Tahoma" w:hAnsi="Tahoma"/>
          <w:color w:val="000000"/>
        </w:rPr>
      </w:pPr>
      <w:r w:rsidDel="00000000" w:rsidR="00000000" w:rsidRPr="00000000">
        <w:rPr>
          <w:rFonts w:ascii="Tahoma" w:cs="Tahoma" w:eastAsia="Tahoma" w:hAnsi="Tahoma"/>
          <w:color w:val="000000"/>
          <w:rtl w:val="0"/>
        </w:rPr>
        <w:tab/>
      </w:r>
    </w:p>
    <w:p w:rsidR="00000000" w:rsidDel="00000000" w:rsidP="00000000" w:rsidRDefault="00000000" w:rsidRPr="00000000" w14:paraId="0000005D">
      <w:pPr>
        <w:spacing w:after="60" w:before="60" w:lineRule="auto"/>
        <w:jc w:val="center"/>
        <w:rPr>
          <w:rFonts w:ascii="Tahoma" w:cs="Tahoma" w:eastAsia="Tahoma" w:hAnsi="Tahoma"/>
          <w:color w:val="000000"/>
        </w:rPr>
      </w:pPr>
      <w:r w:rsidDel="00000000" w:rsidR="00000000" w:rsidRPr="00000000">
        <w:rPr>
          <w:rtl w:val="0"/>
        </w:rPr>
      </w:r>
    </w:p>
    <w:p w:rsidR="00000000" w:rsidDel="00000000" w:rsidP="00000000" w:rsidRDefault="00000000" w:rsidRPr="00000000" w14:paraId="0000005E">
      <w:pPr>
        <w:tabs>
          <w:tab w:val="left" w:pos="3948"/>
        </w:tabs>
        <w:rPr>
          <w:rFonts w:ascii="Montserrat Light" w:cs="Montserrat Light" w:eastAsia="Montserrat Light" w:hAnsi="Montserrat Light"/>
          <w:sz w:val="20"/>
          <w:szCs w:val="20"/>
        </w:rPr>
      </w:pPr>
      <w:r w:rsidDel="00000000" w:rsidR="00000000" w:rsidRPr="00000000">
        <w:rPr>
          <w:rtl w:val="0"/>
        </w:rPr>
      </w:r>
    </w:p>
    <w:sectPr>
      <w:headerReference r:id="rId11" w:type="first"/>
      <w:pgSz w:h="15840" w:w="12240" w:orient="portrait"/>
      <w:pgMar w:bottom="1080" w:top="1080" w:left="1440" w:right="1440" w:header="0" w:footer="51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 w:name="Montserrat Ligh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right" w:pos="9360"/>
      </w:tabs>
      <w:rPr/>
    </w:pPr>
    <w:r w:rsidDel="00000000" w:rsidR="00000000" w:rsidRPr="00000000">
      <w:rPr>
        <w:rtl w:val="0"/>
      </w:rPr>
      <w:tab/>
    </w:r>
    <w:r w:rsidDel="00000000" w:rsidR="00000000" w:rsidRPr="00000000">
      <w:drawing>
        <wp:anchor allowOverlap="1" behindDoc="1" distB="0" distT="0" distL="0" distR="0" hidden="0" layoutInCell="1" locked="0" relativeHeight="0" simplePos="0">
          <wp:simplePos x="0" y="0"/>
          <wp:positionH relativeFrom="column">
            <wp:posOffset>5257800</wp:posOffset>
          </wp:positionH>
          <wp:positionV relativeFrom="paragraph">
            <wp:posOffset>-285114</wp:posOffset>
          </wp:positionV>
          <wp:extent cx="1301750" cy="1884045"/>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rot="16200000">
                    <a:off x="0" y="0"/>
                    <a:ext cx="1301750" cy="1884045"/>
                  </a:xfrm>
                  <a:prstGeom prst="rect"/>
                  <a:ln/>
                </pic:spPr>
              </pic:pic>
            </a:graphicData>
          </a:graphic>
        </wp:anchor>
      </w:drawing>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right" w:pos="9360"/>
      </w:tabs>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right" w:pos="936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fr"/>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b w:val="1"/>
      <w:sz w:val="28"/>
      <w:szCs w:val="28"/>
    </w:rPr>
  </w:style>
  <w:style w:type="paragraph" w:styleId="Heading2">
    <w:name w:val="heading 2"/>
    <w:basedOn w:val="Normal"/>
    <w:next w:val="Normal"/>
    <w:pPr>
      <w:spacing w:before="0" w:line="276" w:lineRule="auto"/>
      <w:ind w:left="360"/>
      <w:jc w:val="both"/>
    </w:pPr>
    <w:rPr>
      <w:b w:val="1"/>
      <w:color w:val="1155cc"/>
      <w:sz w:val="28"/>
      <w:szCs w:val="28"/>
    </w:rPr>
  </w:style>
  <w:style w:type="paragraph" w:styleId="Heading3">
    <w:name w:val="heading 3"/>
    <w:basedOn w:val="Normal"/>
    <w:next w:val="Normal"/>
    <w:pPr>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spacing w:before="320" w:line="240" w:lineRule="auto"/>
    </w:pPr>
    <w:rPr>
      <w:sz w:val="72"/>
      <w:szCs w:val="72"/>
    </w:rPr>
  </w:style>
  <w:style w:type="paragraph" w:styleId="Normal" w:default="1">
    <w:name w:val="Normal"/>
    <w:qFormat w:val="1"/>
  </w:style>
  <w:style w:type="paragraph" w:styleId="Titre1">
    <w:name w:val="heading 1"/>
    <w:basedOn w:val="Normal"/>
    <w:next w:val="Normal"/>
    <w:uiPriority w:val="9"/>
    <w:qFormat w:val="1"/>
    <w:pPr>
      <w:spacing w:before="480" w:line="240" w:lineRule="auto"/>
      <w:outlineLvl w:val="0"/>
    </w:pPr>
    <w:rPr>
      <w:b w:val="1"/>
      <w:sz w:val="28"/>
      <w:szCs w:val="28"/>
    </w:rPr>
  </w:style>
  <w:style w:type="paragraph" w:styleId="Titre2">
    <w:name w:val="heading 2"/>
    <w:basedOn w:val="Normal"/>
    <w:next w:val="Normal"/>
    <w:uiPriority w:val="9"/>
    <w:semiHidden w:val="1"/>
    <w:unhideWhenUsed w:val="1"/>
    <w:qFormat w:val="1"/>
    <w:pPr>
      <w:spacing w:before="0" w:line="276" w:lineRule="auto"/>
      <w:ind w:left="360"/>
      <w:jc w:val="both"/>
      <w:outlineLvl w:val="1"/>
    </w:pPr>
    <w:rPr>
      <w:b w:val="1"/>
      <w:color w:val="1155cc"/>
      <w:sz w:val="28"/>
      <w:szCs w:val="28"/>
    </w:rPr>
  </w:style>
  <w:style w:type="paragraph" w:styleId="Titre3">
    <w:name w:val="heading 3"/>
    <w:basedOn w:val="Normal"/>
    <w:next w:val="Normal"/>
    <w:uiPriority w:val="9"/>
    <w:semiHidden w:val="1"/>
    <w:unhideWhenUsed w:val="1"/>
    <w:qFormat w:val="1"/>
    <w:pPr>
      <w:spacing w:line="240" w:lineRule="auto"/>
      <w:outlineLvl w:val="2"/>
    </w:pPr>
    <w:rPr>
      <w:sz w:val="26"/>
      <w:szCs w:val="26"/>
    </w:rPr>
  </w:style>
  <w:style w:type="paragraph" w:styleId="Titre4">
    <w:name w:val="heading 4"/>
    <w:basedOn w:val="Normal"/>
    <w:next w:val="Normal"/>
    <w:uiPriority w:val="9"/>
    <w:semiHidden w:val="1"/>
    <w:unhideWhenUsed w:val="1"/>
    <w:qFormat w:val="1"/>
    <w:pPr>
      <w:keepNext w:val="1"/>
      <w:keepLines w:val="1"/>
      <w:spacing w:before="160"/>
      <w:outlineLvl w:val="3"/>
    </w:pPr>
    <w:rPr>
      <w:rFonts w:ascii="Trebuchet MS" w:cs="Trebuchet MS" w:eastAsia="Trebuchet MS" w:hAnsi="Trebuchet MS"/>
      <w:color w:val="666666"/>
      <w:u w:val="single"/>
    </w:rPr>
  </w:style>
  <w:style w:type="paragraph" w:styleId="Titre5">
    <w:name w:val="heading 5"/>
    <w:basedOn w:val="Normal"/>
    <w:next w:val="Normal"/>
    <w:uiPriority w:val="9"/>
    <w:semiHidden w:val="1"/>
    <w:unhideWhenUsed w:val="1"/>
    <w:qFormat w:val="1"/>
    <w:pPr>
      <w:keepNext w:val="1"/>
      <w:keepLines w:val="1"/>
      <w:spacing w:before="160"/>
      <w:outlineLvl w:val="4"/>
    </w:pPr>
    <w:rPr>
      <w:rFonts w:ascii="Trebuchet MS" w:cs="Trebuchet MS" w:eastAsia="Trebuchet MS" w:hAnsi="Trebuchet MS"/>
      <w:color w:val="666666"/>
    </w:rPr>
  </w:style>
  <w:style w:type="paragraph" w:styleId="Titre6">
    <w:name w:val="heading 6"/>
    <w:basedOn w:val="Normal"/>
    <w:next w:val="Normal"/>
    <w:uiPriority w:val="9"/>
    <w:semiHidden w:val="1"/>
    <w:unhideWhenUsed w:val="1"/>
    <w:qFormat w:val="1"/>
    <w:pPr>
      <w:keepNext w:val="1"/>
      <w:keepLines w:val="1"/>
      <w:spacing w:before="160"/>
      <w:outlineLvl w:val="5"/>
    </w:pPr>
    <w:rPr>
      <w:rFonts w:ascii="Trebuchet MS" w:cs="Trebuchet MS" w:eastAsia="Trebuchet MS" w:hAnsi="Trebuchet MS"/>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spacing w:before="320" w:line="240" w:lineRule="auto"/>
    </w:pPr>
    <w:rPr>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spacing w:before="0" w:line="240" w:lineRule="auto"/>
    </w:pPr>
    <w:rPr>
      <w:color w:val="666666"/>
      <w:sz w:val="26"/>
      <w:szCs w:val="26"/>
    </w:rPr>
  </w:style>
  <w:style w:type="paragraph" w:styleId="Textedebulles">
    <w:name w:val="Balloon Text"/>
    <w:basedOn w:val="Normal"/>
    <w:link w:val="TextedebullesCar"/>
    <w:uiPriority w:val="99"/>
    <w:semiHidden w:val="1"/>
    <w:unhideWhenUsed w:val="1"/>
    <w:rsid w:val="00E7284C"/>
    <w:pPr>
      <w:spacing w:before="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E7284C"/>
    <w:rPr>
      <w:rFonts w:ascii="Tahoma" w:cs="Tahoma" w:hAnsi="Tahoma"/>
      <w:sz w:val="16"/>
      <w:szCs w:val="16"/>
    </w:rPr>
  </w:style>
  <w:style w:type="character" w:styleId="Marquedecommentaire">
    <w:name w:val="annotation reference"/>
    <w:basedOn w:val="Policepardfaut"/>
    <w:uiPriority w:val="99"/>
    <w:semiHidden w:val="1"/>
    <w:unhideWhenUsed w:val="1"/>
    <w:rsid w:val="009909E1"/>
    <w:rPr>
      <w:sz w:val="16"/>
      <w:szCs w:val="16"/>
    </w:rPr>
  </w:style>
  <w:style w:type="paragraph" w:styleId="Commentaire">
    <w:name w:val="annotation text"/>
    <w:basedOn w:val="Normal"/>
    <w:link w:val="CommentaireCar"/>
    <w:uiPriority w:val="99"/>
    <w:semiHidden w:val="1"/>
    <w:unhideWhenUsed w:val="1"/>
    <w:rsid w:val="009909E1"/>
    <w:pPr>
      <w:spacing w:line="240" w:lineRule="auto"/>
    </w:pPr>
    <w:rPr>
      <w:sz w:val="20"/>
      <w:szCs w:val="20"/>
    </w:rPr>
  </w:style>
  <w:style w:type="character" w:styleId="CommentaireCar" w:customStyle="1">
    <w:name w:val="Commentaire Car"/>
    <w:basedOn w:val="Policepardfaut"/>
    <w:link w:val="Commentaire"/>
    <w:uiPriority w:val="99"/>
    <w:semiHidden w:val="1"/>
    <w:rsid w:val="009909E1"/>
    <w:rPr>
      <w:sz w:val="20"/>
      <w:szCs w:val="20"/>
    </w:rPr>
  </w:style>
  <w:style w:type="paragraph" w:styleId="Objetducommentaire">
    <w:name w:val="annotation subject"/>
    <w:basedOn w:val="Commentaire"/>
    <w:next w:val="Commentaire"/>
    <w:link w:val="ObjetducommentaireCar"/>
    <w:uiPriority w:val="99"/>
    <w:semiHidden w:val="1"/>
    <w:unhideWhenUsed w:val="1"/>
    <w:rsid w:val="009909E1"/>
    <w:rPr>
      <w:b w:val="1"/>
      <w:bCs w:val="1"/>
    </w:rPr>
  </w:style>
  <w:style w:type="character" w:styleId="ObjetducommentaireCar" w:customStyle="1">
    <w:name w:val="Objet du commentaire Car"/>
    <w:basedOn w:val="CommentaireCar"/>
    <w:link w:val="Objetducommentaire"/>
    <w:uiPriority w:val="99"/>
    <w:semiHidden w:val="1"/>
    <w:rsid w:val="009909E1"/>
    <w:rPr>
      <w:b w:val="1"/>
      <w:bCs w:val="1"/>
      <w:sz w:val="20"/>
      <w:szCs w:val="20"/>
    </w:rPr>
  </w:style>
  <w:style w:type="paragraph" w:styleId="Paragraphedeliste">
    <w:name w:val="List Paragraph"/>
    <w:basedOn w:val="Normal"/>
    <w:uiPriority w:val="34"/>
    <w:qFormat w:val="1"/>
    <w:rsid w:val="005E40CE"/>
    <w:pPr>
      <w:ind w:left="720"/>
      <w:contextualSpacing w:val="1"/>
    </w:pPr>
  </w:style>
  <w:style w:type="paragraph" w:styleId="En-tte">
    <w:name w:val="header"/>
    <w:basedOn w:val="Normal"/>
    <w:link w:val="En-tteCar"/>
    <w:uiPriority w:val="99"/>
    <w:unhideWhenUsed w:val="1"/>
    <w:rsid w:val="005E40CE"/>
    <w:pPr>
      <w:tabs>
        <w:tab w:val="center" w:pos="4536"/>
        <w:tab w:val="right" w:pos="9072"/>
      </w:tabs>
      <w:spacing w:before="0" w:line="240" w:lineRule="auto"/>
    </w:pPr>
  </w:style>
  <w:style w:type="character" w:styleId="En-tteCar" w:customStyle="1">
    <w:name w:val="En-tête Car"/>
    <w:basedOn w:val="Policepardfaut"/>
    <w:link w:val="En-tte"/>
    <w:uiPriority w:val="99"/>
    <w:rsid w:val="005E40CE"/>
  </w:style>
  <w:style w:type="paragraph" w:styleId="Pieddepage">
    <w:name w:val="footer"/>
    <w:basedOn w:val="Normal"/>
    <w:link w:val="PieddepageCar"/>
    <w:uiPriority w:val="99"/>
    <w:unhideWhenUsed w:val="1"/>
    <w:rsid w:val="005E40CE"/>
    <w:pPr>
      <w:tabs>
        <w:tab w:val="center" w:pos="4536"/>
        <w:tab w:val="right" w:pos="9072"/>
      </w:tabs>
      <w:spacing w:before="0" w:line="240" w:lineRule="auto"/>
    </w:pPr>
  </w:style>
  <w:style w:type="character" w:styleId="PieddepageCar" w:customStyle="1">
    <w:name w:val="Pied de page Car"/>
    <w:basedOn w:val="Policepardfaut"/>
    <w:link w:val="Pieddepage"/>
    <w:uiPriority w:val="99"/>
    <w:rsid w:val="005E40CE"/>
  </w:style>
  <w:style w:type="paragraph" w:styleId="Subtitle">
    <w:name w:val="Subtitle"/>
    <w:basedOn w:val="Normal"/>
    <w:next w:val="Normal"/>
    <w:pPr>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health-data-hub.fr/actualites/ai4health-une-semaine-dimmersion-en-ia-en-sante" TargetMode="External"/><Relationship Id="rId9" Type="http://schemas.openxmlformats.org/officeDocument/2006/relationships/hyperlink" Target="https://ai4healthschool.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ealth-data-hub.fr/" TargetMode="External"/><Relationship Id="rId8" Type="http://schemas.openxmlformats.org/officeDocument/2006/relationships/hyperlink" Target="https://www.health-data-hub.fr/actualites/kick-officiel-de-laction-conjointe-espace-europeen-des-donnees-de-san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Tahoma-regular.ttf"/><Relationship Id="rId6"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WJQ5GOzAyUp0ugtvWM9WlRkaVQ==">AMUW2mVmWGuJym27WMhh+aFDO95P4YwTj7W+bC49Gjpsi9djSiDvCO8Z1BE3lIy3RUPR1kqxvt4LVC+D5uldcYuRJ+jGFfoJ9Oh5zxP04uj306hNZWaamU3U85qb3KhKeLDGpe6yKvbuMAyQgFo5VtEOUExt0Wm5IH9odTwXbIF41Mr1BH5pgs9cXoVn+Cdj8gFDtjC+iIrySELhEzOiKQDxaDI4wF1toClPy4mUXa3crrSajfBQNTEmzK2zckTL/4RgeP6REwXolirLpCXmGV7/LZofBLACp5vFqi90Jn9C0732rx814JVkjE6/JmOKdF8flgTY40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2021-05-19T11:45:00Z</dcterms:created>
  <dc:creator>PREVOT Sophie</dc:creator>
</cp:coreProperties>
</file>