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320" w:line="240" w:lineRule="auto"/>
        <w:rPr>
          <w:rFonts w:ascii="Tahoma" w:cs="Tahoma" w:eastAsia="Tahoma" w:hAnsi="Tahoma"/>
          <w:b w:val="1"/>
          <w:color w:val="036287"/>
          <w:sz w:val="36"/>
          <w:szCs w:val="36"/>
        </w:rPr>
      </w:pPr>
      <w:bookmarkStart w:colFirst="0" w:colLast="0" w:name="_heading=h.bpjffa8u5qwq" w:id="0"/>
      <w:bookmarkEnd w:id="0"/>
      <w:r w:rsidDel="00000000" w:rsidR="00000000" w:rsidRPr="00000000">
        <w:rPr>
          <w:rFonts w:ascii="Tahoma" w:cs="Tahoma" w:eastAsia="Tahoma" w:hAnsi="Tahoma"/>
          <w:b w:val="1"/>
          <w:color w:val="036287"/>
          <w:sz w:val="36"/>
          <w:szCs w:val="36"/>
          <w:rtl w:val="0"/>
        </w:rPr>
        <w:t xml:space="preserve">Financement de bourse postdoctorale : Étude comparative internationale de l’impact social, socio-économique et éthique de l’ouverture des données de santé </w:t>
      </w:r>
    </w:p>
    <w:p w:rsidR="00000000" w:rsidDel="00000000" w:rsidP="00000000" w:rsidRDefault="00000000" w:rsidRPr="00000000" w14:paraId="00000002">
      <w:pPr>
        <w:pStyle w:val="Subtitle"/>
        <w:keepNext w:val="0"/>
        <w:keepLines w:val="0"/>
        <w:spacing w:after="0" w:before="0" w:line="240" w:lineRule="auto"/>
        <w:rPr>
          <w:rFonts w:ascii="Tahoma" w:cs="Tahoma" w:eastAsia="Tahoma" w:hAnsi="Tahoma"/>
          <w:b w:val="1"/>
          <w:i w:val="0"/>
          <w:color w:val="036287"/>
          <w:sz w:val="28"/>
          <w:szCs w:val="28"/>
        </w:rPr>
      </w:pPr>
      <w:bookmarkStart w:colFirst="0" w:colLast="0" w:name="_heading=h.tpgbyg1d4v8n" w:id="1"/>
      <w:bookmarkEnd w:id="1"/>
      <w:r w:rsidDel="00000000" w:rsidR="00000000" w:rsidRPr="00000000">
        <w:rPr>
          <w:rFonts w:ascii="Tahoma" w:cs="Tahoma" w:eastAsia="Tahoma" w:hAnsi="Tahoma"/>
          <w:b w:val="1"/>
          <w:i w:val="0"/>
          <w:color w:val="036287"/>
          <w:sz w:val="28"/>
          <w:szCs w:val="28"/>
          <w:rtl w:val="0"/>
        </w:rPr>
        <w:t xml:space="preserve">Direction Scientifique</w:t>
      </w:r>
    </w:p>
    <w:p w:rsidR="00000000" w:rsidDel="00000000" w:rsidP="00000000" w:rsidRDefault="00000000" w:rsidRPr="00000000" w14:paraId="00000003">
      <w:pPr>
        <w:tabs>
          <w:tab w:val="left" w:pos="284"/>
        </w:tabs>
        <w:spacing w:line="240" w:lineRule="auto"/>
        <w:jc w:val="both"/>
        <w:rPr>
          <w:rFonts w:ascii="Proxima Nova" w:cs="Proxima Nova" w:eastAsia="Proxima Nova" w:hAnsi="Proxima Nova"/>
          <w:color w:val="353744"/>
          <w:sz w:val="22"/>
          <w:szCs w:val="22"/>
        </w:rPr>
      </w:pPr>
      <w:r w:rsidDel="00000000" w:rsidR="00000000" w:rsidRPr="00000000">
        <w:rPr>
          <w:rtl w:val="0"/>
        </w:rPr>
      </w:r>
    </w:p>
    <w:p w:rsidR="00000000" w:rsidDel="00000000" w:rsidP="00000000" w:rsidRDefault="00000000" w:rsidRPr="00000000" w14:paraId="00000004">
      <w:pPr>
        <w:tabs>
          <w:tab w:val="left" w:pos="284"/>
        </w:tabs>
        <w:spacing w:line="240" w:lineRule="auto"/>
        <w:jc w:val="both"/>
        <w:rPr>
          <w:rFonts w:ascii="Tahoma" w:cs="Tahoma" w:eastAsia="Tahoma" w:hAnsi="Tahoma"/>
          <w:b w:val="1"/>
          <w:color w:val="353744"/>
          <w:sz w:val="20"/>
          <w:szCs w:val="20"/>
        </w:rPr>
      </w:pPr>
      <w:r w:rsidDel="00000000" w:rsidR="00000000" w:rsidRPr="00000000">
        <w:rPr>
          <w:rtl w:val="0"/>
        </w:rPr>
      </w:r>
    </w:p>
    <w:p w:rsidR="00000000" w:rsidDel="00000000" w:rsidP="00000000" w:rsidRDefault="00000000" w:rsidRPr="00000000" w14:paraId="00000005">
      <w:pPr>
        <w:tabs>
          <w:tab w:val="left" w:pos="284"/>
        </w:tabs>
        <w:spacing w:line="240" w:lineRule="auto"/>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Financement – CDD en laboratoire d’accueil</w:t>
      </w:r>
    </w:p>
    <w:p w:rsidR="00000000" w:rsidDel="00000000" w:rsidP="00000000" w:rsidRDefault="00000000" w:rsidRPr="00000000" w14:paraId="00000006">
      <w:pPr>
        <w:tabs>
          <w:tab w:val="left" w:pos="284"/>
        </w:tabs>
        <w:spacing w:line="240" w:lineRule="auto"/>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Rémunération – selon expérience et grille de salaire postdoctorale</w:t>
      </w:r>
    </w:p>
    <w:p w:rsidR="00000000" w:rsidDel="00000000" w:rsidP="00000000" w:rsidRDefault="00000000" w:rsidRPr="00000000" w14:paraId="00000007">
      <w:pPr>
        <w:tabs>
          <w:tab w:val="left" w:pos="284"/>
        </w:tabs>
        <w:spacing w:line="240" w:lineRule="auto"/>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Diplômes – Bac +8 Ph. D.</w:t>
      </w:r>
    </w:p>
    <w:p w:rsidR="00000000" w:rsidDel="00000000" w:rsidP="00000000" w:rsidRDefault="00000000" w:rsidRPr="00000000" w14:paraId="00000008">
      <w:pPr>
        <w:tabs>
          <w:tab w:val="left" w:pos="284"/>
        </w:tabs>
        <w:spacing w:line="240" w:lineRule="auto"/>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Date de début – Entre mi-novembre 2021 et janvier 2022</w:t>
      </w:r>
    </w:p>
    <w:p w:rsidR="00000000" w:rsidDel="00000000" w:rsidP="00000000" w:rsidRDefault="00000000" w:rsidRPr="00000000" w14:paraId="00000009">
      <w:pPr>
        <w:tabs>
          <w:tab w:val="left" w:pos="284"/>
        </w:tabs>
        <w:spacing w:line="240" w:lineRule="auto"/>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Localisation – Sans restriction</w:t>
      </w:r>
    </w:p>
    <w:p w:rsidR="00000000" w:rsidDel="00000000" w:rsidP="00000000" w:rsidRDefault="00000000" w:rsidRPr="00000000" w14:paraId="0000000A">
      <w:pPr>
        <w:spacing w:after="200" w:before="480" w:line="240" w:lineRule="auto"/>
        <w:rPr>
          <w:rFonts w:ascii="Tahoma" w:cs="Tahoma" w:eastAsia="Tahoma" w:hAnsi="Tahoma"/>
          <w:b w:val="1"/>
          <w:color w:val="353744"/>
          <w:sz w:val="28"/>
          <w:szCs w:val="28"/>
        </w:rPr>
      </w:pPr>
      <w:bookmarkStart w:colFirst="0" w:colLast="0" w:name="_heading=h.2et92p0" w:id="2"/>
      <w:bookmarkEnd w:id="2"/>
      <w:r w:rsidDel="00000000" w:rsidR="00000000" w:rsidRPr="00000000">
        <w:rPr>
          <w:rFonts w:ascii="Tahoma" w:cs="Tahoma" w:eastAsia="Tahoma" w:hAnsi="Tahoma"/>
          <w:b w:val="1"/>
          <w:color w:val="353744"/>
          <w:sz w:val="28"/>
          <w:szCs w:val="28"/>
          <w:rtl w:val="0"/>
        </w:rPr>
        <w:t xml:space="preserve">DESCRIPTIF DU POSTE</w:t>
      </w:r>
    </w:p>
    <w:p w:rsidR="00000000" w:rsidDel="00000000" w:rsidP="00000000" w:rsidRDefault="00000000" w:rsidRPr="00000000" w14:paraId="0000000B">
      <w:pPr>
        <w:spacing w:line="24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C">
      <w:pP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 Health Data Hub finance une bourse de recherche postdoctorale sur la thématique “</w:t>
      </w:r>
      <w:r w:rsidDel="00000000" w:rsidR="00000000" w:rsidRPr="00000000">
        <w:rPr>
          <w:rFonts w:ascii="Tahoma" w:cs="Tahoma" w:eastAsia="Tahoma" w:hAnsi="Tahoma"/>
          <w:b w:val="1"/>
          <w:sz w:val="22"/>
          <w:szCs w:val="22"/>
          <w:rtl w:val="0"/>
        </w:rPr>
        <w:t xml:space="preserve">Etude comparative internationale de l’impact social, socio-économique et éthique de l’ouverture des données de santé </w:t>
      </w:r>
      <w:r w:rsidDel="00000000" w:rsidR="00000000" w:rsidRPr="00000000">
        <w:rPr>
          <w:rFonts w:ascii="Tahoma" w:cs="Tahoma" w:eastAsia="Tahoma" w:hAnsi="Tahoma"/>
          <w:sz w:val="22"/>
          <w:szCs w:val="22"/>
          <w:rtl w:val="0"/>
        </w:rPr>
        <w:t xml:space="preserve">”. Elle sera attribuée pour un an et renouvelable une fois. La prise de poste devra s’effectuer entre septembre 2021 et janvier 2022. </w:t>
      </w:r>
    </w:p>
    <w:p w:rsidR="00000000" w:rsidDel="00000000" w:rsidP="00000000" w:rsidRDefault="00000000" w:rsidRPr="00000000" w14:paraId="0000000D">
      <w:pP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E">
      <w:pPr>
        <w:shd w:fill="ffffff" w:val="clea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Ce contrat postdoctoral a pour objet d’étudier l’impact de l’ouverture des donnés de santé sur la recherche et sur les citoyens dans un ou plusieurs pays où ce processus est déjà très avancé depuis longtemps (comme la Norvège, la Suède, ou le Royaume-Uni par exemple), et d’étudier la transposabilité de ces expériences (parfois de manière prospective) à la France. </w:t>
      </w:r>
    </w:p>
    <w:p w:rsidR="00000000" w:rsidDel="00000000" w:rsidP="00000000" w:rsidRDefault="00000000" w:rsidRPr="00000000" w14:paraId="0000000F">
      <w:pPr>
        <w:shd w:fill="ffffff" w:val="clea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10">
      <w:pPr>
        <w:shd w:fill="ffffff" w:val="clea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Cette analyse pourra prendre une forme qualitative (e.g. interviews, analyse de documents) et/ou quantitative (e.g. changement de politiques nationales sur les données, évolution et disponibilité de variables statistiques dans le temps) en fonction des domaines qui incluent (sans exhaustivité) le soin (qualité des soins, organisation des soins, égalité d’accès aux soins, qualité de la relation patient-soignant etc), la recherche académique en santé (médicale, biologique, épidémiologique, socio-économique), l’écosystème industriel (médicaments, dispositifs médicaux, dispositifs connectés), les aspects politico-administratifs (référence aux données de santé dans les décision politiques, qualité de l’administration médicale, confiance des citoyens dans les instances de décision), et les conséquences pour la protection des données personnelles.</w:t>
      </w:r>
    </w:p>
    <w:p w:rsidR="00000000" w:rsidDel="00000000" w:rsidP="00000000" w:rsidRDefault="00000000" w:rsidRPr="00000000" w14:paraId="00000011">
      <w:pPr>
        <w:shd w:fill="ffffff" w:val="clea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12">
      <w:pPr>
        <w:shd w:fill="ffffff" w:val="clea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Enfin, ces analyses tiendront compte à la fois des gains potentiels de cette ouverture et des risques qu’elle présente.</w:t>
      </w:r>
    </w:p>
    <w:p w:rsidR="00000000" w:rsidDel="00000000" w:rsidP="00000000" w:rsidRDefault="00000000" w:rsidRPr="00000000" w14:paraId="00000013">
      <w:pPr>
        <w:shd w:fill="ffffff" w:val="clea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4">
      <w:pPr>
        <w:shd w:fill="ffffff" w:val="clea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5">
      <w:pPr>
        <w:shd w:fill="ffffff" w:val="clea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6">
      <w:pPr>
        <w:shd w:fill="ffffff" w:val="clea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7">
      <w:pPr>
        <w:shd w:fill="ffffff" w:val="clea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8">
      <w:pPr>
        <w:shd w:fill="ffffff" w:val="clea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9">
      <w:pPr>
        <w:shd w:fill="ffffff" w:val="clear"/>
        <w:spacing w:line="240" w:lineRule="auto"/>
        <w:jc w:val="both"/>
        <w:rPr>
          <w:rFonts w:ascii="Tahoma" w:cs="Tahoma" w:eastAsia="Tahoma" w:hAnsi="Tahoma"/>
          <w:b w:val="1"/>
          <w:color w:val="353744"/>
          <w:sz w:val="28"/>
          <w:szCs w:val="28"/>
        </w:rPr>
      </w:pPr>
      <w:r w:rsidDel="00000000" w:rsidR="00000000" w:rsidRPr="00000000">
        <w:rPr>
          <w:rFonts w:ascii="Tahoma" w:cs="Tahoma" w:eastAsia="Tahoma" w:hAnsi="Tahoma"/>
          <w:b w:val="1"/>
          <w:color w:val="353744"/>
          <w:sz w:val="28"/>
          <w:szCs w:val="28"/>
          <w:rtl w:val="0"/>
        </w:rPr>
        <w:t xml:space="preserve">PROCÉDURE DE CANDIDATURE</w:t>
      </w:r>
    </w:p>
    <w:p w:rsidR="00000000" w:rsidDel="00000000" w:rsidP="00000000" w:rsidRDefault="00000000" w:rsidRPr="00000000" w14:paraId="0000001A">
      <w:pPr>
        <w:spacing w:line="240"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B">
      <w:pP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 financement, qui sera transmis au laboratoire d’accueil candidat, couvre le salaire d’un chercheur postdoctorant selon expérience ainsi qu’une allocation de 1500 euros par an dédiée aux dépenses de matériel, voyages, collaborations ou publications.</w:t>
      </w:r>
    </w:p>
    <w:p w:rsidR="00000000" w:rsidDel="00000000" w:rsidP="00000000" w:rsidRDefault="00000000" w:rsidRPr="00000000" w14:paraId="0000001C">
      <w:pP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D">
      <w:pP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candidatures, qui se font de manière jointe entre une équipe dans un laboratoire d’accueil et un chercheur postdoctorant, sont ouvertes jusqu’au 15 juin 2021. Les candidats sélectionnés seront contactés avant le 22 juin 2021. Un encadrant principal doit être désigné au sein de l’équipe d’accueil. De manière optionnelle, le dossier de candidature peut décrire une seconde équipe d’accueil (cotutelle) pour appuyer l’équipe d’accueil principale dans l’encadrement de la recherche. Dans ce cas, un encadrant de référence sera aussi désigné au sein de l’équipe de co-tutelle.</w:t>
      </w:r>
    </w:p>
    <w:p w:rsidR="00000000" w:rsidDel="00000000" w:rsidP="00000000" w:rsidRDefault="00000000" w:rsidRPr="00000000" w14:paraId="0000001E">
      <w:pP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F">
      <w:pP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L’appel à candidature est ouvert à tous les laboratoires de recherche académique en France et à l’étranger. </w:t>
      </w:r>
    </w:p>
    <w:p w:rsidR="00000000" w:rsidDel="00000000" w:rsidP="00000000" w:rsidRDefault="00000000" w:rsidRPr="00000000" w14:paraId="00000020">
      <w:pP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1">
      <w:pP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dossiers complets sont à adresser à </w:t>
      </w:r>
      <w:hyperlink r:id="rId7">
        <w:r w:rsidDel="00000000" w:rsidR="00000000" w:rsidRPr="00000000">
          <w:rPr>
            <w:rFonts w:ascii="Tahoma" w:cs="Tahoma" w:eastAsia="Tahoma" w:hAnsi="Tahoma"/>
            <w:color w:val="1155cc"/>
            <w:sz w:val="22"/>
            <w:szCs w:val="22"/>
            <w:u w:val="single"/>
            <w:rtl w:val="0"/>
          </w:rPr>
          <w:t xml:space="preserve">direction.scientifique@health-data-hub.fr</w:t>
        </w:r>
      </w:hyperlink>
      <w:r w:rsidDel="00000000" w:rsidR="00000000" w:rsidRPr="00000000">
        <w:rPr>
          <w:rFonts w:ascii="Tahoma" w:cs="Tahoma" w:eastAsia="Tahoma" w:hAnsi="Tahoma"/>
          <w:sz w:val="22"/>
          <w:szCs w:val="22"/>
          <w:rtl w:val="0"/>
        </w:rPr>
        <w:t xml:space="preserve"> en indiquant dans l’objet le sujet de recherche considéré parmi les trois sujets proposés, et doivent comprendre : </w:t>
      </w:r>
    </w:p>
    <w:p w:rsidR="00000000" w:rsidDel="00000000" w:rsidP="00000000" w:rsidRDefault="00000000" w:rsidRPr="00000000" w14:paraId="00000022">
      <w:pPr>
        <w:numPr>
          <w:ilvl w:val="0"/>
          <w:numId w:val="2"/>
        </w:numPr>
        <w:spacing w:line="24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un descriptif de l’équipe d’accueil ayant pour objectif de montrer la compétence de l’équipe sur le sujet de recherche : effectifs, activités, ressources nécessaires au travail de recherche, publications-clé etc (2 pages maximum),</w:t>
      </w:r>
    </w:p>
    <w:p w:rsidR="00000000" w:rsidDel="00000000" w:rsidP="00000000" w:rsidRDefault="00000000" w:rsidRPr="00000000" w14:paraId="00000023">
      <w:pPr>
        <w:numPr>
          <w:ilvl w:val="0"/>
          <w:numId w:val="2"/>
        </w:numPr>
        <w:spacing w:line="24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CV de l’encadrant principal et liste complète de publications</w:t>
      </w:r>
    </w:p>
    <w:p w:rsidR="00000000" w:rsidDel="00000000" w:rsidP="00000000" w:rsidRDefault="00000000" w:rsidRPr="00000000" w14:paraId="00000024">
      <w:pPr>
        <w:numPr>
          <w:ilvl w:val="0"/>
          <w:numId w:val="2"/>
        </w:numPr>
        <w:spacing w:line="24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CV du chercheur postdoctorant, liste des publications et un résumé de 3 ou 4 pages  du parcours académique et des recherches passées,</w:t>
      </w:r>
    </w:p>
    <w:p w:rsidR="00000000" w:rsidDel="00000000" w:rsidP="00000000" w:rsidRDefault="00000000" w:rsidRPr="00000000" w14:paraId="00000025">
      <w:pPr>
        <w:numPr>
          <w:ilvl w:val="0"/>
          <w:numId w:val="2"/>
        </w:numPr>
        <w:shd w:fill="ffffff" w:val="clear"/>
        <w:spacing w:line="24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projet de recherche (4 pages maximum avec citations) décrivant le déroulement prévu des recherches et les outils considérés (technique, algorithmique, interviews etc)</w:t>
      </w:r>
    </w:p>
    <w:p w:rsidR="00000000" w:rsidDel="00000000" w:rsidP="00000000" w:rsidRDefault="00000000" w:rsidRPr="00000000" w14:paraId="00000026">
      <w:pPr>
        <w:numPr>
          <w:ilvl w:val="0"/>
          <w:numId w:val="2"/>
        </w:numPr>
        <w:shd w:fill="ffffff" w:val="clear"/>
        <w:spacing w:line="24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 cas échéant, descriptif de l’équipe de cotutelle (1 page maximum), CV et liste de publications de l’encadrant référent de cotutelle).</w:t>
      </w:r>
    </w:p>
    <w:p w:rsidR="00000000" w:rsidDel="00000000" w:rsidP="00000000" w:rsidRDefault="00000000" w:rsidRPr="00000000" w14:paraId="00000027">
      <w:pPr>
        <w:shd w:fill="ffffff" w:val="clear"/>
        <w:spacing w:line="240"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8">
      <w:pPr>
        <w:spacing w:line="240" w:lineRule="auto"/>
        <w:jc w:val="both"/>
        <w:rPr>
          <w:rFonts w:ascii="Tahoma" w:cs="Tahoma" w:eastAsia="Tahoma" w:hAnsi="Tahoma"/>
          <w:sz w:val="28"/>
          <w:szCs w:val="28"/>
        </w:rPr>
      </w:pPr>
      <w:r w:rsidDel="00000000" w:rsidR="00000000" w:rsidRPr="00000000">
        <w:rPr>
          <w:rFonts w:ascii="Tahoma" w:cs="Tahoma" w:eastAsia="Tahoma" w:hAnsi="Tahoma"/>
          <w:b w:val="1"/>
          <w:color w:val="353744"/>
          <w:sz w:val="28"/>
          <w:szCs w:val="28"/>
          <w:rtl w:val="0"/>
        </w:rPr>
        <w:t xml:space="preserve">CONDITIONS D’ATTRIBUTION</w:t>
      </w:r>
      <w:r w:rsidDel="00000000" w:rsidR="00000000" w:rsidRPr="00000000">
        <w:rPr>
          <w:rtl w:val="0"/>
        </w:rPr>
      </w:r>
    </w:p>
    <w:p w:rsidR="00000000" w:rsidDel="00000000" w:rsidP="00000000" w:rsidRDefault="00000000" w:rsidRPr="00000000" w14:paraId="00000029">
      <w:pPr>
        <w:shd w:fill="ffffff" w:val="clear"/>
        <w:spacing w:line="240"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A">
      <w:pPr>
        <w:shd w:fill="ffffff" w:val="clear"/>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équipes d’accueil et les chercheurs postdoctoraux s’engagent à </w:t>
      </w:r>
    </w:p>
    <w:p w:rsidR="00000000" w:rsidDel="00000000" w:rsidP="00000000" w:rsidRDefault="00000000" w:rsidRPr="00000000" w14:paraId="0000002B">
      <w:pPr>
        <w:numPr>
          <w:ilvl w:val="0"/>
          <w:numId w:val="1"/>
        </w:numPr>
        <w:shd w:fill="ffffff" w:val="clear"/>
        <w:spacing w:line="24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rendre disponible de manière ouverte à l’ensemble de la communauté scientifique le résultat des travaux financés par les bourses postdoctorales du Health Data Hub, y compris les algorithmes développés, </w:t>
      </w:r>
    </w:p>
    <w:p w:rsidR="00000000" w:rsidDel="00000000" w:rsidP="00000000" w:rsidRDefault="00000000" w:rsidRPr="00000000" w14:paraId="0000002C">
      <w:pPr>
        <w:numPr>
          <w:ilvl w:val="0"/>
          <w:numId w:val="1"/>
        </w:numPr>
        <w:shd w:fill="ffffff" w:val="clear"/>
        <w:spacing w:line="24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communiquer sur leur recherche, au moins une fois par an, dans le cadre d’un événement scientifique organisé par le Health Data Hub (conférence, workshop etc),</w:t>
      </w:r>
    </w:p>
    <w:p w:rsidR="00000000" w:rsidDel="00000000" w:rsidP="00000000" w:rsidRDefault="00000000" w:rsidRPr="00000000" w14:paraId="0000002D">
      <w:pPr>
        <w:numPr>
          <w:ilvl w:val="0"/>
          <w:numId w:val="1"/>
        </w:numPr>
        <w:shd w:fill="ffffff" w:val="clear"/>
        <w:spacing w:line="24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réaliser une courte interview décrivant le travail de recherche qui pourra être diffusée sur le site du Health Data Hub,</w:t>
      </w:r>
    </w:p>
    <w:p w:rsidR="00000000" w:rsidDel="00000000" w:rsidP="00000000" w:rsidRDefault="00000000" w:rsidRPr="00000000" w14:paraId="0000002E">
      <w:pPr>
        <w:numPr>
          <w:ilvl w:val="0"/>
          <w:numId w:val="1"/>
        </w:numPr>
        <w:shd w:fill="ffffff" w:val="clear"/>
        <w:spacing w:line="24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écrire de manière trimestrielle un court rapport (1-2 pages) décrivant l’avancée des recherches à date qui sera mis à disposition du Health Data Hub et présenté lors d’une réunion d’échange. A la fin du contrat postdoctoral, un rapport plus détaillé sera remis à la direction du Health Data Hub.</w:t>
      </w:r>
    </w:p>
    <w:p w:rsidR="00000000" w:rsidDel="00000000" w:rsidP="00000000" w:rsidRDefault="00000000" w:rsidRPr="00000000" w14:paraId="0000002F">
      <w:pPr>
        <w:shd w:fill="ffffff" w:val="clear"/>
        <w:spacing w:lin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0">
      <w:pPr>
        <w:shd w:fill="ffffff" w:val="clear"/>
        <w:spacing w:line="240" w:lineRule="auto"/>
        <w:jc w:val="both"/>
        <w:rPr>
          <w:rFonts w:ascii="Tahoma" w:cs="Tahoma" w:eastAsia="Tahoma" w:hAnsi="Tahoma"/>
          <w:color w:val="036287"/>
          <w:sz w:val="32"/>
          <w:szCs w:val="32"/>
          <w:u w:val="single"/>
        </w:rPr>
      </w:pPr>
      <w:r w:rsidDel="00000000" w:rsidR="00000000" w:rsidRPr="00000000">
        <w:rPr>
          <w:rFonts w:ascii="Tahoma" w:cs="Tahoma" w:eastAsia="Tahoma" w:hAnsi="Tahoma"/>
          <w:sz w:val="22"/>
          <w:szCs w:val="22"/>
          <w:rtl w:val="0"/>
        </w:rPr>
        <w:t xml:space="preserve">Pour toute demande d’informations supplémentaires sur les offres ou le processus de sélection, vous pouvez contacter la </w:t>
      </w:r>
      <w:hyperlink r:id="rId8">
        <w:r w:rsidDel="00000000" w:rsidR="00000000" w:rsidRPr="00000000">
          <w:rPr>
            <w:rFonts w:ascii="Tahoma" w:cs="Tahoma" w:eastAsia="Tahoma" w:hAnsi="Tahoma"/>
            <w:color w:val="1155cc"/>
            <w:sz w:val="22"/>
            <w:szCs w:val="22"/>
            <w:u w:val="single"/>
            <w:rtl w:val="0"/>
          </w:rPr>
          <w:t xml:space="preserve">direction.scientifique@health-data-hub.fr </w:t>
        </w:r>
      </w:hyperlink>
      <w:r w:rsidDel="00000000" w:rsidR="00000000" w:rsidRPr="00000000">
        <w:rPr>
          <w:rtl w:val="0"/>
        </w:rPr>
      </w:r>
    </w:p>
    <w:sectPr>
      <w:headerReference r:id="rId9" w:type="default"/>
      <w:footerReference r:id="rId10" w:type="default"/>
      <w:pgSz w:h="16838" w:w="11906" w:orient="portrait"/>
      <w:pgMar w:bottom="1417" w:top="1417" w:left="1417" w:right="1417" w:header="397"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 Étude comparative internationale de l’impact social, socio-économique et éthique de l’ouverture des données de santé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ahoma" w:cs="Tahoma" w:eastAsia="Tahoma" w:hAnsi="Tahoma"/>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anchor allowOverlap="1" behindDoc="0" distB="0" distT="0" distL="0" distR="0" hidden="0" layoutInCell="1" locked="0" relativeHeight="0" simplePos="0">
          <wp:simplePos x="0" y="0"/>
          <wp:positionH relativeFrom="page">
            <wp:posOffset>6679255</wp:posOffset>
          </wp:positionH>
          <wp:positionV relativeFrom="page">
            <wp:posOffset>19050</wp:posOffset>
          </wp:positionV>
          <wp:extent cx="972329" cy="891302"/>
          <wp:effectExtent b="0" l="0" r="0" t="0"/>
          <wp:wrapSquare wrapText="bothSides" distB="0" distT="0" distL="0" distR="0"/>
          <wp:docPr id="24" name="image2.png"/>
          <a:graphic>
            <a:graphicData uri="http://schemas.openxmlformats.org/drawingml/2006/picture">
              <pic:pic>
                <pic:nvPicPr>
                  <pic:cNvPr id="0" name="image2.png"/>
                  <pic:cNvPicPr preferRelativeResize="0"/>
                </pic:nvPicPr>
                <pic:blipFill>
                  <a:blip r:embed="rId1"/>
                  <a:srcRect b="5319" l="0" r="0" t="-5319"/>
                  <a:stretch>
                    <a:fillRect/>
                  </a:stretch>
                </pic:blipFill>
                <pic:spPr>
                  <a:xfrm rot="16200000">
                    <a:off x="0" y="0"/>
                    <a:ext cx="972329" cy="891302"/>
                  </a:xfrm>
                  <a:prstGeom prst="rect"/>
                  <a:ln/>
                </pic:spPr>
              </pic:pic>
            </a:graphicData>
          </a:graphic>
        </wp:anchor>
      </w:drawing>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899795</wp:posOffset>
          </wp:positionH>
          <wp:positionV relativeFrom="page">
            <wp:posOffset>514350</wp:posOffset>
          </wp:positionV>
          <wp:extent cx="1760220" cy="374015"/>
          <wp:effectExtent b="0" l="0" r="0" t="0"/>
          <wp:wrapSquare wrapText="bothSides" distB="0" distT="0" distL="114300" distR="114300"/>
          <wp:docPr id="2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60220" cy="374015"/>
                  </a:xfrm>
                  <a:prstGeom prst="rect"/>
                  <a:ln/>
                </pic:spPr>
              </pic:pic>
            </a:graphicData>
          </a:graphic>
        </wp:anchor>
      </w:drawing>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Light" w:cs="Calibri Light" w:eastAsia="Calibri Light" w:hAnsi="Calibri Light"/>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Light" w:cs="Calibri Light" w:eastAsia="Calibri Light" w:hAnsi="Calibri Light"/>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704BA"/>
    <w:pPr>
      <w:spacing w:after="0" w:line="240" w:lineRule="auto"/>
    </w:pPr>
    <w:rPr>
      <w:rFonts w:ascii="Calibri" w:cs="Calibri" w:eastAsia="Calibri" w:hAnsi="Calibri"/>
      <w:sz w:val="24"/>
      <w:szCs w:val="24"/>
      <w:lang w:eastAsia="fr-FR"/>
    </w:rPr>
  </w:style>
  <w:style w:type="paragraph" w:styleId="Titre3">
    <w:name w:val="heading 3"/>
    <w:basedOn w:val="Normal"/>
    <w:next w:val="Normal"/>
    <w:link w:val="Titre3Car"/>
    <w:uiPriority w:val="9"/>
    <w:unhideWhenUsed w:val="1"/>
    <w:qFormat w:val="1"/>
    <w:rsid w:val="00781AA1"/>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E91309"/>
    <w:pPr>
      <w:tabs>
        <w:tab w:val="center" w:pos="4536"/>
        <w:tab w:val="right" w:pos="9072"/>
      </w:tabs>
    </w:pPr>
  </w:style>
  <w:style w:type="character" w:styleId="En-tteCar" w:customStyle="1">
    <w:name w:val="En-tête Car"/>
    <w:basedOn w:val="Policepardfaut"/>
    <w:link w:val="En-tte"/>
    <w:uiPriority w:val="99"/>
    <w:rsid w:val="00E91309"/>
  </w:style>
  <w:style w:type="paragraph" w:styleId="Pieddepage">
    <w:name w:val="footer"/>
    <w:basedOn w:val="Normal"/>
    <w:link w:val="PieddepageCar"/>
    <w:uiPriority w:val="99"/>
    <w:unhideWhenUsed w:val="1"/>
    <w:rsid w:val="00E91309"/>
    <w:pPr>
      <w:tabs>
        <w:tab w:val="center" w:pos="4536"/>
        <w:tab w:val="right" w:pos="9072"/>
      </w:tabs>
    </w:pPr>
  </w:style>
  <w:style w:type="character" w:styleId="PieddepageCar" w:customStyle="1">
    <w:name w:val="Pied de page Car"/>
    <w:basedOn w:val="Policepardfaut"/>
    <w:link w:val="Pieddepage"/>
    <w:uiPriority w:val="99"/>
    <w:rsid w:val="00E91309"/>
  </w:style>
  <w:style w:type="paragraph" w:styleId="Paragraphedeliste">
    <w:name w:val="List Paragraph"/>
    <w:basedOn w:val="Normal"/>
    <w:uiPriority w:val="34"/>
    <w:qFormat w:val="1"/>
    <w:rsid w:val="003C6388"/>
    <w:pPr>
      <w:ind w:left="720"/>
      <w:contextualSpacing w:val="1"/>
    </w:pPr>
  </w:style>
  <w:style w:type="character" w:styleId="Titre3Car" w:customStyle="1">
    <w:name w:val="Titre 3 Car"/>
    <w:basedOn w:val="Policepardfaut"/>
    <w:link w:val="Titre3"/>
    <w:uiPriority w:val="9"/>
    <w:rsid w:val="00781AA1"/>
    <w:rPr>
      <w:rFonts w:asciiTheme="majorHAnsi" w:cstheme="majorBidi" w:eastAsiaTheme="majorEastAsia" w:hAnsiTheme="majorHAnsi"/>
      <w:color w:val="1f3763" w:themeColor="accent1" w:themeShade="00007F"/>
      <w:sz w:val="24"/>
      <w:szCs w:val="24"/>
      <w:lang w:eastAsia="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irection.scientifique@health-data-hub.fr" TargetMode="External"/><Relationship Id="rId8" Type="http://schemas.openxmlformats.org/officeDocument/2006/relationships/hyperlink" Target="mailto:direction.scientifique@health-data-hub.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OBscphUlY1Kd0SmewWor10Pvfw==">AMUW2mWcn74w9031fd0MK5ySui3pzCaeRwwqBdZo6KasqYhWPbLobUgUnCVYOUOpeOvVftxTRMUQJoIMixtfPT97ZKUmy9IDVKq8sOIhQ7vwX8sVox9BIEiEZ33saYPiNLWVwsGTdnnozhD6wdkIlwDD2rMb6QEMXI95St27sMgDJTKrZbGefVs=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2021-05-20T13:05:00Z</dcterms:created>
  <dc:creator>Sophie Janaszkiewicz</dc:creator>
</cp:coreProperties>
</file>