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Subtitle"/>
        <w:spacing w:line="240" w:lineRule="auto"/>
        <w:jc w:val="left"/>
        <w:rPr>
          <w:rFonts w:ascii="Proxima Nova" w:cs="Proxima Nova" w:eastAsia="Proxima Nova" w:hAnsi="Proxima Nova"/>
          <w:b w:val="1"/>
          <w:color w:val="666666"/>
          <w:sz w:val="28"/>
          <w:szCs w:val="28"/>
        </w:rPr>
      </w:pPr>
      <w:bookmarkStart w:colFirst="0" w:colLast="0" w:name="_heading=h.gjdgxs" w:id="0"/>
      <w:bookmarkEnd w:id="0"/>
      <w:r w:rsidDel="00000000" w:rsidR="00000000" w:rsidRPr="00000000">
        <w:rPr>
          <w:rFonts w:ascii="Tahoma" w:cs="Tahoma" w:eastAsia="Tahoma" w:hAnsi="Tahoma"/>
          <w:b w:val="1"/>
          <w:color w:val="036287"/>
          <w:sz w:val="36"/>
          <w:szCs w:val="36"/>
          <w:rtl w:val="0"/>
        </w:rPr>
        <w:t xml:space="preserve">C</w:t>
      </w:r>
      <w:r w:rsidDel="00000000" w:rsidR="00000000" w:rsidRPr="00000000">
        <w:rPr>
          <w:rFonts w:ascii="Tahoma" w:cs="Tahoma" w:eastAsia="Tahoma" w:hAnsi="Tahoma"/>
          <w:b w:val="1"/>
          <w:color w:val="036287"/>
          <w:sz w:val="36"/>
          <w:szCs w:val="36"/>
          <w:rtl w:val="0"/>
        </w:rPr>
        <w:t xml:space="preserve">hargé de projet et d’expertise SNDS H/F</w:t>
      </w:r>
      <w:r w:rsidDel="00000000" w:rsidR="00000000" w:rsidRPr="00000000">
        <w:rPr>
          <w:rtl w:val="0"/>
        </w:rPr>
      </w:r>
    </w:p>
    <w:p w:rsidR="00000000" w:rsidDel="00000000" w:rsidP="00000000" w:rsidRDefault="00000000" w:rsidRPr="00000000" w14:paraId="00000002">
      <w:pPr>
        <w:tabs>
          <w:tab w:val="left" w:pos="284"/>
        </w:tabs>
        <w:spacing w:line="276" w:lineRule="auto"/>
        <w:rPr>
          <w:rFonts w:ascii="Proxima Nova" w:cs="Proxima Nova" w:eastAsia="Proxima Nova" w:hAnsi="Proxima Nova"/>
          <w:color w:val="353744"/>
          <w:sz w:val="28"/>
          <w:szCs w:val="28"/>
        </w:rPr>
      </w:pPr>
      <w:r w:rsidDel="00000000" w:rsidR="00000000" w:rsidRPr="00000000">
        <w:rPr>
          <w:rFonts w:ascii="Tahoma" w:cs="Tahoma" w:eastAsia="Tahoma" w:hAnsi="Tahoma"/>
          <w:b w:val="1"/>
          <w:color w:val="036287"/>
          <w:sz w:val="28"/>
          <w:szCs w:val="28"/>
          <w:rtl w:val="0"/>
        </w:rPr>
        <w:t xml:space="preserve">Direction Data du HDH</w:t>
      </w:r>
      <w:r w:rsidDel="00000000" w:rsidR="00000000" w:rsidRPr="00000000">
        <w:rPr>
          <w:rFonts w:ascii="Proxima Nova" w:cs="Proxima Nova" w:eastAsia="Proxima Nova" w:hAnsi="Proxima Nova"/>
          <w:color w:val="353744"/>
          <w:sz w:val="28"/>
          <w:szCs w:val="28"/>
          <w:rtl w:val="0"/>
        </w:rPr>
        <w:t xml:space="preserve"> </w:t>
      </w:r>
    </w:p>
    <w:p w:rsidR="00000000" w:rsidDel="00000000" w:rsidP="00000000" w:rsidRDefault="00000000" w:rsidRPr="00000000" w14:paraId="00000003">
      <w:pPr>
        <w:spacing w:line="240" w:lineRule="auto"/>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4">
      <w:pPr>
        <w:tabs>
          <w:tab w:val="left" w:pos="284"/>
        </w:tabs>
        <w:spacing w:line="276" w:lineRule="auto"/>
        <w:rPr>
          <w:rFonts w:ascii="Tahoma" w:cs="Tahoma" w:eastAsia="Tahoma" w:hAnsi="Tahoma"/>
          <w:b w:val="1"/>
          <w:color w:val="353744"/>
        </w:rPr>
      </w:pPr>
      <w:r w:rsidDel="00000000" w:rsidR="00000000" w:rsidRPr="00000000">
        <w:rPr>
          <w:rFonts w:ascii="Tahoma" w:cs="Tahoma" w:eastAsia="Tahoma" w:hAnsi="Tahoma"/>
          <w:b w:val="1"/>
          <w:color w:val="353744"/>
          <w:rtl w:val="0"/>
        </w:rPr>
        <w:t xml:space="preserve">Contrat – CDI</w:t>
      </w:r>
    </w:p>
    <w:p w:rsidR="00000000" w:rsidDel="00000000" w:rsidP="00000000" w:rsidRDefault="00000000" w:rsidRPr="00000000" w14:paraId="00000005">
      <w:pPr>
        <w:tabs>
          <w:tab w:val="left" w:pos="284"/>
        </w:tabs>
        <w:spacing w:line="276" w:lineRule="auto"/>
        <w:rPr>
          <w:rFonts w:ascii="Tahoma" w:cs="Tahoma" w:eastAsia="Tahoma" w:hAnsi="Tahoma"/>
          <w:b w:val="1"/>
          <w:color w:val="353744"/>
        </w:rPr>
      </w:pPr>
      <w:r w:rsidDel="00000000" w:rsidR="00000000" w:rsidRPr="00000000">
        <w:rPr>
          <w:rFonts w:ascii="Tahoma" w:cs="Tahoma" w:eastAsia="Tahoma" w:hAnsi="Tahoma"/>
          <w:b w:val="1"/>
          <w:color w:val="353744"/>
          <w:rtl w:val="0"/>
        </w:rPr>
        <w:t xml:space="preserve">Rémunération – Selon profil</w:t>
      </w:r>
    </w:p>
    <w:p w:rsidR="00000000" w:rsidDel="00000000" w:rsidP="00000000" w:rsidRDefault="00000000" w:rsidRPr="00000000" w14:paraId="00000006">
      <w:pPr>
        <w:tabs>
          <w:tab w:val="left" w:pos="284"/>
        </w:tabs>
        <w:spacing w:line="276" w:lineRule="auto"/>
        <w:rPr>
          <w:rFonts w:ascii="Tahoma" w:cs="Tahoma" w:eastAsia="Tahoma" w:hAnsi="Tahoma"/>
          <w:b w:val="1"/>
          <w:color w:val="353744"/>
        </w:rPr>
      </w:pPr>
      <w:r w:rsidDel="00000000" w:rsidR="00000000" w:rsidRPr="00000000">
        <w:rPr>
          <w:rFonts w:ascii="Tahoma" w:cs="Tahoma" w:eastAsia="Tahoma" w:hAnsi="Tahoma"/>
          <w:b w:val="1"/>
          <w:color w:val="353744"/>
          <w:rtl w:val="0"/>
        </w:rPr>
        <w:t xml:space="preserve">Date de début – Dès que possible</w:t>
      </w:r>
    </w:p>
    <w:p w:rsidR="00000000" w:rsidDel="00000000" w:rsidP="00000000" w:rsidRDefault="00000000" w:rsidRPr="00000000" w14:paraId="00000007">
      <w:pPr>
        <w:tabs>
          <w:tab w:val="left" w:pos="284"/>
        </w:tabs>
        <w:spacing w:line="276" w:lineRule="auto"/>
        <w:rPr>
          <w:rFonts w:ascii="Tahoma" w:cs="Tahoma" w:eastAsia="Tahoma" w:hAnsi="Tahoma"/>
          <w:b w:val="1"/>
          <w:color w:val="353744"/>
        </w:rPr>
      </w:pPr>
      <w:r w:rsidDel="00000000" w:rsidR="00000000" w:rsidRPr="00000000">
        <w:rPr>
          <w:rFonts w:ascii="Tahoma" w:cs="Tahoma" w:eastAsia="Tahoma" w:hAnsi="Tahoma"/>
          <w:b w:val="1"/>
          <w:color w:val="353744"/>
          <w:rtl w:val="0"/>
        </w:rPr>
        <w:t xml:space="preserve">Localisation: Paris 15ème </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spacing w:after="200" w:before="480" w:line="240" w:lineRule="auto"/>
        <w:jc w:val="left"/>
        <w:rPr>
          <w:rFonts w:ascii="Tahoma" w:cs="Tahoma" w:eastAsia="Tahoma" w:hAnsi="Tahoma"/>
          <w:b w:val="1"/>
          <w:color w:val="353744"/>
          <w:sz w:val="28"/>
          <w:szCs w:val="28"/>
        </w:rPr>
      </w:pPr>
      <w:bookmarkStart w:colFirst="0" w:colLast="0" w:name="_heading=h.2et92p0" w:id="1"/>
      <w:bookmarkEnd w:id="1"/>
      <w:r w:rsidDel="00000000" w:rsidR="00000000" w:rsidRPr="00000000">
        <w:rPr>
          <w:rFonts w:ascii="Tahoma" w:cs="Tahoma" w:eastAsia="Tahoma" w:hAnsi="Tahoma"/>
          <w:b w:val="1"/>
          <w:color w:val="353744"/>
          <w:sz w:val="28"/>
          <w:szCs w:val="28"/>
          <w:rtl w:val="0"/>
        </w:rPr>
        <w:t xml:space="preserve">LE HEALTH DATA HUB</w:t>
      </w:r>
    </w:p>
    <w:p w:rsidR="00000000" w:rsidDel="00000000" w:rsidP="00000000" w:rsidRDefault="00000000" w:rsidRPr="00000000" w14:paraId="0000000A">
      <w:pPr>
        <w:spacing w:after="240" w:before="200" w:line="240" w:lineRule="auto"/>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Health Data Hub (HDH) ou « plateforme des données de santé » est un Groupement d'Intérêt Public dont l’objectif est de faciliter les travaux de recherche sur le patrimoine des données de santé. Il interagit avec de nombreux acteurs tels que les Ministères, la Caisse Nationale d'Assurance Maladie, les hôpitaux. La transparence et la participation des citoyens sont des engagements clés du HDH. </w:t>
      </w:r>
    </w:p>
    <w:p w:rsidR="00000000" w:rsidDel="00000000" w:rsidP="00000000" w:rsidRDefault="00000000" w:rsidRPr="00000000" w14:paraId="0000000B">
      <w:pPr>
        <w:spacing w:after="160" w:line="240" w:lineRule="auto"/>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Health Data Hub c’est : </w:t>
      </w:r>
    </w:p>
    <w:p w:rsidR="00000000" w:rsidDel="00000000" w:rsidP="00000000" w:rsidRDefault="00000000" w:rsidRPr="00000000" w14:paraId="0000000C">
      <w:pPr>
        <w:numPr>
          <w:ilvl w:val="0"/>
          <w:numId w:val="4"/>
        </w:numPr>
        <w:spacing w:before="200"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plateforme technologique à l’état de l’art disponible pour héberger les premiers projets de recherche </w:t>
      </w:r>
    </w:p>
    <w:p w:rsidR="00000000" w:rsidDel="00000000" w:rsidP="00000000" w:rsidRDefault="00000000" w:rsidRPr="00000000" w14:paraId="0000000D">
      <w:pPr>
        <w:numPr>
          <w:ilvl w:val="0"/>
          <w:numId w:val="4"/>
        </w:numPr>
        <w:spacing w:before="200"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Une équipe pluridisciplinaire d’une cinquantaine personnes impliquées dans un projet ambitieux  au service de l’intérêt général</w:t>
      </w:r>
    </w:p>
    <w:p w:rsidR="00000000" w:rsidDel="00000000" w:rsidP="00000000" w:rsidRDefault="00000000" w:rsidRPr="00000000" w14:paraId="0000000E">
      <w:pPr>
        <w:numPr>
          <w:ilvl w:val="0"/>
          <w:numId w:val="4"/>
        </w:numPr>
        <w:spacing w:before="200"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Près de 1 pétaoctet de données de santé traitées par an lorsque le HDH aura atteint son régime de croisière</w:t>
      </w:r>
    </w:p>
    <w:p w:rsidR="00000000" w:rsidDel="00000000" w:rsidP="00000000" w:rsidRDefault="00000000" w:rsidRPr="00000000" w14:paraId="0000000F">
      <w:pPr>
        <w:numPr>
          <w:ilvl w:val="0"/>
          <w:numId w:val="4"/>
        </w:numPr>
        <w:spacing w:after="200" w:before="200"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28 projets pilotes accompagnés - Exemples : </w:t>
      </w:r>
    </w:p>
    <w:p w:rsidR="00000000" w:rsidDel="00000000" w:rsidP="00000000" w:rsidRDefault="00000000" w:rsidRPr="00000000" w14:paraId="00000010">
      <w:pPr>
        <w:numPr>
          <w:ilvl w:val="0"/>
          <w:numId w:val="6"/>
        </w:numPr>
        <w:spacing w:after="200"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Analyse du non recours au soin pendant le confinement à partir des résumés de passages aux urgences</w:t>
      </w:r>
    </w:p>
    <w:p w:rsidR="00000000" w:rsidDel="00000000" w:rsidP="00000000" w:rsidRDefault="00000000" w:rsidRPr="00000000" w14:paraId="00000011">
      <w:pPr>
        <w:numPr>
          <w:ilvl w:val="0"/>
          <w:numId w:val="6"/>
        </w:numPr>
        <w:spacing w:before="200"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Etude de l’impact et des traitements sur des données de vie réelle afin d’identifier les meilleurs schémas thérapeutiques pour le traitement du sarcome </w:t>
      </w:r>
    </w:p>
    <w:p w:rsidR="00000000" w:rsidDel="00000000" w:rsidP="00000000" w:rsidRDefault="00000000" w:rsidRPr="00000000" w14:paraId="00000012">
      <w:pPr>
        <w:numPr>
          <w:ilvl w:val="0"/>
          <w:numId w:val="6"/>
        </w:numPr>
        <w:spacing w:line="240" w:lineRule="auto"/>
        <w:ind w:left="720" w:hanging="360"/>
        <w:jc w:val="left"/>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Evaluation de l’apport de l’IA dans le dépistage organisé du cancer du sein</w:t>
      </w:r>
    </w:p>
    <w:p w:rsidR="00000000" w:rsidDel="00000000" w:rsidP="00000000" w:rsidRDefault="00000000" w:rsidRPr="00000000" w14:paraId="00000013">
      <w:pPr>
        <w:spacing w:line="240" w:lineRule="auto"/>
        <w:jc w:val="left"/>
        <w:rPr>
          <w:rFonts w:ascii="Proxima Nova" w:cs="Proxima Nova" w:eastAsia="Proxima Nova" w:hAnsi="Proxima Nova"/>
          <w:color w:val="353744"/>
          <w:sz w:val="22"/>
          <w:szCs w:val="22"/>
        </w:rPr>
      </w:pPr>
      <w:r w:rsidDel="00000000" w:rsidR="00000000" w:rsidRPr="00000000">
        <w:rPr>
          <w:rtl w:val="0"/>
        </w:rPr>
      </w:r>
    </w:p>
    <w:p w:rsidR="00000000" w:rsidDel="00000000" w:rsidP="00000000" w:rsidRDefault="00000000" w:rsidRPr="00000000" w14:paraId="00000014">
      <w:pPr>
        <w:spacing w:line="240" w:lineRule="auto"/>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Le HDH porte une mission de facilitation de la recherche médicale, et de ce fait est un vecteur d’amélioration de la vie des patients. Au cœur des enjeux du numérique et de la santé, il est porté par une équipe dynamique qui contribue au partage de la connaissance à travers l’open source.</w:t>
      </w:r>
    </w:p>
    <w:p w:rsidR="00000000" w:rsidDel="00000000" w:rsidP="00000000" w:rsidRDefault="00000000" w:rsidRPr="00000000" w14:paraId="00000015">
      <w:pPr>
        <w:spacing w:line="240" w:lineRule="auto"/>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Fonts w:ascii="Tahoma" w:cs="Tahoma" w:eastAsia="Tahoma" w:hAnsi="Tahoma"/>
          <w:color w:val="353744"/>
          <w:sz w:val="22"/>
          <w:szCs w:val="22"/>
          <w:rtl w:val="0"/>
        </w:rPr>
        <w:t xml:space="preserve">Plus d'informations sur le Health Data Hub et son équipe sur notre </w:t>
      </w:r>
      <w:hyperlink r:id="rId7">
        <w:r w:rsidDel="00000000" w:rsidR="00000000" w:rsidRPr="00000000">
          <w:rPr>
            <w:rFonts w:ascii="Tahoma" w:cs="Tahoma" w:eastAsia="Tahoma" w:hAnsi="Tahoma"/>
            <w:color w:val="353744"/>
            <w:sz w:val="22"/>
            <w:szCs w:val="22"/>
            <w:u w:val="single"/>
            <w:rtl w:val="0"/>
          </w:rPr>
          <w:t xml:space="preserve">site</w:t>
        </w:r>
      </w:hyperlink>
      <w:r w:rsidDel="00000000" w:rsidR="00000000" w:rsidRPr="00000000">
        <w:rPr>
          <w:rFonts w:ascii="Tahoma" w:cs="Tahoma" w:eastAsia="Tahoma" w:hAnsi="Tahoma"/>
          <w:color w:val="353744"/>
          <w:sz w:val="22"/>
          <w:szCs w:val="22"/>
          <w:u w:val="single"/>
          <w:rtl w:val="0"/>
        </w:rPr>
        <w:t xml:space="preserve">.</w:t>
      </w: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019">
      <w:pPr>
        <w:rPr>
          <w:rFonts w:ascii="Tahoma" w:cs="Tahoma" w:eastAsia="Tahoma" w:hAnsi="Tahoma"/>
          <w:b w:val="1"/>
          <w:sz w:val="22"/>
          <w:szCs w:val="22"/>
        </w:rPr>
      </w:pPr>
      <w:r w:rsidDel="00000000" w:rsidR="00000000" w:rsidRPr="00000000">
        <w:rPr>
          <w:rFonts w:ascii="Tahoma" w:cs="Tahoma" w:eastAsia="Tahoma" w:hAnsi="Tahoma"/>
          <w:b w:val="1"/>
          <w:color w:val="036287"/>
          <w:sz w:val="22"/>
          <w:szCs w:val="22"/>
          <w:rtl w:val="0"/>
        </w:rPr>
        <w:t xml:space="preserve">DESCRIPTIF DU POSTE</w:t>
      </w:r>
      <w:r w:rsidDel="00000000" w:rsidR="00000000" w:rsidRPr="00000000">
        <w:rPr>
          <w:rtl w:val="0"/>
        </w:rPr>
      </w:r>
    </w:p>
    <w:p w:rsidR="00000000" w:rsidDel="00000000" w:rsidP="00000000" w:rsidRDefault="00000000" w:rsidRPr="00000000" w14:paraId="0000001A">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B">
      <w:pPr>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Au sein l’équipe data composé d’une dizaine de collaborateurs, le chargé de projet et d’expertise aura pour missions de :</w:t>
      </w:r>
      <w:r w:rsidDel="00000000" w:rsidR="00000000" w:rsidRPr="00000000">
        <w:rPr>
          <w:rtl w:val="0"/>
        </w:rPr>
      </w:r>
    </w:p>
    <w:p w:rsidR="00000000" w:rsidDel="00000000" w:rsidP="00000000" w:rsidRDefault="00000000" w:rsidRPr="00000000" w14:paraId="0000001C">
      <w:pPr>
        <w:numPr>
          <w:ilvl w:val="0"/>
          <w:numId w:val="2"/>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Définir et assurer les opérations de mise à disposition des données SNDS dans les espaces projets de la plateforme technologique du HDH :</w:t>
      </w:r>
    </w:p>
    <w:p w:rsidR="00000000" w:rsidDel="00000000" w:rsidP="00000000" w:rsidRDefault="00000000" w:rsidRPr="00000000" w14:paraId="0000001D">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Extraire des données SNDS à partir de critères de ciblage prédéfinis</w:t>
      </w:r>
    </w:p>
    <w:p w:rsidR="00000000" w:rsidDel="00000000" w:rsidP="00000000" w:rsidRDefault="00000000" w:rsidRPr="00000000" w14:paraId="0000001E">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Concevoir et mettre en oeuvre les méthodes d’appariement indirects entre les bases du catalogue et le SNDS</w:t>
      </w:r>
    </w:p>
    <w:p w:rsidR="00000000" w:rsidDel="00000000" w:rsidP="00000000" w:rsidRDefault="00000000" w:rsidRPr="00000000" w14:paraId="0000001F">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Réaliser des traitements de masquage, de nettoyage et de contrôle-qualité des données du SNDS</w:t>
      </w:r>
    </w:p>
    <w:p w:rsidR="00000000" w:rsidDel="00000000" w:rsidP="00000000" w:rsidRDefault="00000000" w:rsidRPr="00000000" w14:paraId="00000020">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Participer à la documentation des données SNDS : plan de data-management, documentation des données, méta-données, etc.</w:t>
      </w:r>
    </w:p>
    <w:p w:rsidR="00000000" w:rsidDel="00000000" w:rsidP="00000000" w:rsidRDefault="00000000" w:rsidRPr="00000000" w14:paraId="00000021">
      <w:pPr>
        <w:numPr>
          <w:ilvl w:val="0"/>
          <w:numId w:val="2"/>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Accompagner les projets souhaitant faire leurs études à partir du SNDS sur la plateforme technologique du HDH :</w:t>
      </w:r>
    </w:p>
    <w:p w:rsidR="00000000" w:rsidDel="00000000" w:rsidP="00000000" w:rsidRDefault="00000000" w:rsidRPr="00000000" w14:paraId="00000022">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Aider les porteurs de projet dans la construction de leur expression de besoins de données SNDS</w:t>
      </w:r>
    </w:p>
    <w:p w:rsidR="00000000" w:rsidDel="00000000" w:rsidP="00000000" w:rsidRDefault="00000000" w:rsidRPr="00000000" w14:paraId="00000023">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Appuyer les porteurs de projet dans la définition des critères de ciblage de la population d’étude dans le SNDS</w:t>
      </w:r>
    </w:p>
    <w:p w:rsidR="00000000" w:rsidDel="00000000" w:rsidP="00000000" w:rsidRDefault="00000000" w:rsidRPr="00000000" w14:paraId="00000024">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Définir avec les porteurs de projet la stratégie d’appariement indirect entre leur base et le SNDS</w:t>
      </w:r>
    </w:p>
    <w:p w:rsidR="00000000" w:rsidDel="00000000" w:rsidP="00000000" w:rsidRDefault="00000000" w:rsidRPr="00000000" w14:paraId="00000025">
      <w:pPr>
        <w:numPr>
          <w:ilvl w:val="1"/>
          <w:numId w:val="2"/>
        </w:numPr>
        <w:ind w:left="144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Conseiller et aider les porteurs de projet dans l’analyse des données SNDS pour leur projet</w:t>
      </w:r>
    </w:p>
    <w:p w:rsidR="00000000" w:rsidDel="00000000" w:rsidP="00000000" w:rsidRDefault="00000000" w:rsidRPr="00000000" w14:paraId="00000026">
      <w:pPr>
        <w:numPr>
          <w:ilvl w:val="0"/>
          <w:numId w:val="2"/>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Contribuer à l’offre de service du HDH sur les aspects SNDS :</w:t>
      </w:r>
    </w:p>
    <w:p w:rsidR="00000000" w:rsidDel="00000000" w:rsidP="00000000" w:rsidRDefault="00000000" w:rsidRPr="00000000" w14:paraId="00000027">
      <w:pPr>
        <w:numPr>
          <w:ilvl w:val="1"/>
          <w:numId w:val="3"/>
        </w:numPr>
        <w:ind w:left="144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Développer l’offre de formation SNDS à destination des porteurs de projet primo-utilisateurs du SNDS</w:t>
      </w:r>
      <w:r w:rsidDel="00000000" w:rsidR="00000000" w:rsidRPr="00000000">
        <w:rPr>
          <w:rtl w:val="0"/>
        </w:rPr>
      </w:r>
    </w:p>
    <w:p w:rsidR="00000000" w:rsidDel="00000000" w:rsidP="00000000" w:rsidRDefault="00000000" w:rsidRPr="00000000" w14:paraId="00000028">
      <w:pPr>
        <w:numPr>
          <w:ilvl w:val="1"/>
          <w:numId w:val="3"/>
        </w:numPr>
        <w:ind w:left="144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Produire des documents d’accompagnement pour l’accès et le traitement des données SNDS</w:t>
      </w:r>
      <w:r w:rsidDel="00000000" w:rsidR="00000000" w:rsidRPr="00000000">
        <w:rPr>
          <w:rtl w:val="0"/>
        </w:rPr>
      </w:r>
    </w:p>
    <w:p w:rsidR="00000000" w:rsidDel="00000000" w:rsidP="00000000" w:rsidRDefault="00000000" w:rsidRPr="00000000" w14:paraId="00000029">
      <w:pPr>
        <w:numPr>
          <w:ilvl w:val="1"/>
          <w:numId w:val="3"/>
        </w:numPr>
        <w:ind w:left="144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Apporter une vision stratégique sur l’industrialisation et l’outillage des traitements du SNDS</w:t>
      </w:r>
      <w:r w:rsidDel="00000000" w:rsidR="00000000" w:rsidRPr="00000000">
        <w:rPr>
          <w:rtl w:val="0"/>
        </w:rPr>
      </w:r>
    </w:p>
    <w:p w:rsidR="00000000" w:rsidDel="00000000" w:rsidP="00000000" w:rsidRDefault="00000000" w:rsidRPr="00000000" w14:paraId="0000002A">
      <w:pPr>
        <w:numPr>
          <w:ilvl w:val="1"/>
          <w:numId w:val="3"/>
        </w:numPr>
        <w:ind w:left="144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Participer aux projets internes du HDH sur les données SNDS (mise au format OMOP notamment)</w:t>
      </w:r>
      <w:r w:rsidDel="00000000" w:rsidR="00000000" w:rsidRPr="00000000">
        <w:rPr>
          <w:rtl w:val="0"/>
        </w:rPr>
      </w:r>
    </w:p>
    <w:p w:rsidR="00000000" w:rsidDel="00000000" w:rsidP="00000000" w:rsidRDefault="00000000" w:rsidRPr="00000000" w14:paraId="0000002B">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C">
      <w:pPr>
        <w:ind w:left="425" w:firstLine="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D">
      <w:pPr>
        <w:rPr>
          <w:rFonts w:ascii="Tahoma" w:cs="Tahoma" w:eastAsia="Tahoma" w:hAnsi="Tahoma"/>
          <w:b w:val="1"/>
          <w:color w:val="036287"/>
          <w:sz w:val="22"/>
          <w:szCs w:val="22"/>
        </w:rPr>
      </w:pPr>
      <w:r w:rsidDel="00000000" w:rsidR="00000000" w:rsidRPr="00000000">
        <w:rPr>
          <w:rFonts w:ascii="Tahoma" w:cs="Tahoma" w:eastAsia="Tahoma" w:hAnsi="Tahoma"/>
          <w:b w:val="1"/>
          <w:color w:val="036287"/>
          <w:sz w:val="22"/>
          <w:szCs w:val="22"/>
          <w:rtl w:val="0"/>
        </w:rPr>
        <w:t xml:space="preserve">PROFIL RECHERCHE</w:t>
      </w:r>
    </w:p>
    <w:p w:rsidR="00000000" w:rsidDel="00000000" w:rsidP="00000000" w:rsidRDefault="00000000" w:rsidRPr="00000000" w14:paraId="0000002E">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Niveau d’étude et formation</w:t>
      </w:r>
    </w:p>
    <w:p w:rsidR="00000000" w:rsidDel="00000000" w:rsidP="00000000" w:rsidRDefault="00000000" w:rsidRPr="00000000" w14:paraId="00000030">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Niveau d’étude : Bac +5 ou plus.</w:t>
      </w:r>
      <w:r w:rsidDel="00000000" w:rsidR="00000000" w:rsidRPr="00000000">
        <w:rPr>
          <w:rtl w:val="0"/>
        </w:rPr>
      </w:r>
    </w:p>
    <w:p w:rsidR="00000000" w:rsidDel="00000000" w:rsidP="00000000" w:rsidRDefault="00000000" w:rsidRPr="00000000" w14:paraId="00000031">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Formation en statistiques, data-science, data-engineering, épidémiologie, santé publique, ou économétrie</w:t>
      </w:r>
      <w:r w:rsidDel="00000000" w:rsidR="00000000" w:rsidRPr="00000000">
        <w:rPr>
          <w:rtl w:val="0"/>
        </w:rPr>
      </w:r>
    </w:p>
    <w:p w:rsidR="00000000" w:rsidDel="00000000" w:rsidP="00000000" w:rsidRDefault="00000000" w:rsidRPr="00000000" w14:paraId="00000032">
      <w:pPr>
        <w:ind w:left="720" w:firstLine="0"/>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33">
      <w:pPr>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Expérience et compétences techniques</w:t>
      </w:r>
    </w:p>
    <w:p w:rsidR="00000000" w:rsidDel="00000000" w:rsidP="00000000" w:rsidRDefault="00000000" w:rsidRPr="00000000" w14:paraId="00000034">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&gt;3 ans d’expérience dans la manipulation des données du SNDS </w:t>
      </w:r>
      <w:r w:rsidDel="00000000" w:rsidR="00000000" w:rsidRPr="00000000">
        <w:rPr>
          <w:rtl w:val="0"/>
        </w:rPr>
      </w:r>
    </w:p>
    <w:p w:rsidR="00000000" w:rsidDel="00000000" w:rsidP="00000000" w:rsidRDefault="00000000" w:rsidRPr="00000000" w14:paraId="00000035">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Maîtrise d’un langage adapté au traitement de données (une préférence pour R et/ou Python )</w:t>
      </w:r>
      <w:r w:rsidDel="00000000" w:rsidR="00000000" w:rsidRPr="00000000">
        <w:rPr>
          <w:rtl w:val="0"/>
        </w:rPr>
      </w:r>
    </w:p>
    <w:p w:rsidR="00000000" w:rsidDel="00000000" w:rsidP="00000000" w:rsidRDefault="00000000" w:rsidRPr="00000000" w14:paraId="00000036">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Bonnes connaissances opérationnelles en SQL</w:t>
      </w:r>
      <w:r w:rsidDel="00000000" w:rsidR="00000000" w:rsidRPr="00000000">
        <w:rPr>
          <w:rtl w:val="0"/>
        </w:rPr>
      </w:r>
    </w:p>
    <w:p w:rsidR="00000000" w:rsidDel="00000000" w:rsidP="00000000" w:rsidRDefault="00000000" w:rsidRPr="00000000" w14:paraId="00000037">
      <w:pPr>
        <w:ind w:left="720" w:firstLine="0"/>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38">
      <w:pPr>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Compétences managériales et relationnelles</w:t>
      </w:r>
    </w:p>
    <w:p w:rsidR="00000000" w:rsidDel="00000000" w:rsidP="00000000" w:rsidRDefault="00000000" w:rsidRPr="00000000" w14:paraId="00000039">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Capacité de travail en équipe et ouverture d’esprit</w:t>
      </w:r>
      <w:r w:rsidDel="00000000" w:rsidR="00000000" w:rsidRPr="00000000">
        <w:rPr>
          <w:rtl w:val="0"/>
        </w:rPr>
      </w:r>
    </w:p>
    <w:p w:rsidR="00000000" w:rsidDel="00000000" w:rsidP="00000000" w:rsidRDefault="00000000" w:rsidRPr="00000000" w14:paraId="0000003A">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Pédagogie, qualité rédactionnelle, clarté de présentation</w:t>
      </w:r>
      <w:r w:rsidDel="00000000" w:rsidR="00000000" w:rsidRPr="00000000">
        <w:rPr>
          <w:rtl w:val="0"/>
        </w:rPr>
      </w:r>
    </w:p>
    <w:p w:rsidR="00000000" w:rsidDel="00000000" w:rsidP="00000000" w:rsidRDefault="00000000" w:rsidRPr="00000000" w14:paraId="0000003B">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Bonne capacité d’autonomie et force de proposition - apte à évoluer dans un environnement en forte évolution et croissance </w:t>
      </w:r>
      <w:r w:rsidDel="00000000" w:rsidR="00000000" w:rsidRPr="00000000">
        <w:rPr>
          <w:rtl w:val="0"/>
        </w:rPr>
      </w:r>
    </w:p>
    <w:p w:rsidR="00000000" w:rsidDel="00000000" w:rsidP="00000000" w:rsidRDefault="00000000" w:rsidRPr="00000000" w14:paraId="0000003C">
      <w:pPr>
        <w:numPr>
          <w:ilvl w:val="0"/>
          <w:numId w:val="1"/>
        </w:numPr>
        <w:ind w:left="720" w:hanging="360"/>
        <w:rPr>
          <w:rFonts w:ascii="Tahoma" w:cs="Tahoma" w:eastAsia="Tahoma" w:hAnsi="Tahoma"/>
          <w:sz w:val="22"/>
          <w:szCs w:val="22"/>
        </w:rPr>
      </w:pPr>
      <w:r w:rsidDel="00000000" w:rsidR="00000000" w:rsidRPr="00000000">
        <w:rPr>
          <w:rFonts w:ascii="Tahoma" w:cs="Tahoma" w:eastAsia="Tahoma" w:hAnsi="Tahoma"/>
          <w:color w:val="353744"/>
          <w:sz w:val="22"/>
          <w:szCs w:val="22"/>
          <w:rtl w:val="0"/>
        </w:rPr>
        <w:t xml:space="preserve">Excellentes qualités relationnelles - apte à gérer une relation avec des partenaires du HDH (startup, institution publique,…)</w:t>
      </w:r>
      <w:r w:rsidDel="00000000" w:rsidR="00000000" w:rsidRPr="00000000">
        <w:rPr>
          <w:rtl w:val="0"/>
        </w:rPr>
      </w:r>
    </w:p>
    <w:p w:rsidR="00000000" w:rsidDel="00000000" w:rsidP="00000000" w:rsidRDefault="00000000" w:rsidRPr="00000000" w14:paraId="0000003D">
      <w:pPr>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ahoma" w:cs="Tahoma" w:eastAsia="Tahoma" w:hAnsi="Tahoma"/>
          <w:b w:val="1"/>
          <w:color w:val="036287"/>
          <w:sz w:val="22"/>
          <w:szCs w:val="22"/>
        </w:rPr>
      </w:pPr>
      <w:r w:rsidDel="00000000" w:rsidR="00000000" w:rsidRPr="00000000">
        <w:rPr>
          <w:rFonts w:ascii="Tahoma" w:cs="Tahoma" w:eastAsia="Tahoma" w:hAnsi="Tahoma"/>
          <w:b w:val="1"/>
          <w:color w:val="036287"/>
          <w:sz w:val="22"/>
          <w:szCs w:val="22"/>
          <w:rtl w:val="0"/>
        </w:rPr>
        <w:t xml:space="preserve">POURQUOI CHOISIR LE HEALTH DATA HUB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ahoma" w:cs="Tahoma" w:eastAsia="Tahoma" w:hAnsi="Tahoma"/>
          <w:b w:val="1"/>
          <w:color w:val="036287"/>
          <w:sz w:val="22"/>
          <w:szCs w:val="22"/>
        </w:rPr>
      </w:pPr>
      <w:r w:rsidDel="00000000" w:rsidR="00000000" w:rsidRPr="00000000">
        <w:rPr>
          <w:rtl w:val="0"/>
        </w:rPr>
      </w:r>
    </w:p>
    <w:p w:rsidR="00000000" w:rsidDel="00000000" w:rsidP="00000000" w:rsidRDefault="00000000" w:rsidRPr="00000000" w14:paraId="00000040">
      <w:pPr>
        <w:numPr>
          <w:ilvl w:val="0"/>
          <w:numId w:val="5"/>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Mettre ses compétences au service de l’intérêt général</w:t>
      </w:r>
    </w:p>
    <w:p w:rsidR="00000000" w:rsidDel="00000000" w:rsidP="00000000" w:rsidRDefault="00000000" w:rsidRPr="00000000" w14:paraId="00000041">
      <w:pPr>
        <w:numPr>
          <w:ilvl w:val="0"/>
          <w:numId w:val="5"/>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Intégrer une équipe jeune, dynamique et pluridisciplinaire</w:t>
      </w:r>
    </w:p>
    <w:p w:rsidR="00000000" w:rsidDel="00000000" w:rsidP="00000000" w:rsidRDefault="00000000" w:rsidRPr="00000000" w14:paraId="00000042">
      <w:pPr>
        <w:numPr>
          <w:ilvl w:val="0"/>
          <w:numId w:val="5"/>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Intégrer une structure en forte croissance et avec de nombreuses possibilités d’évolution</w:t>
      </w:r>
    </w:p>
    <w:p w:rsidR="00000000" w:rsidDel="00000000" w:rsidP="00000000" w:rsidRDefault="00000000" w:rsidRPr="00000000" w14:paraId="00000043">
      <w:pPr>
        <w:numPr>
          <w:ilvl w:val="0"/>
          <w:numId w:val="5"/>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Évoluer dans un environnement technologique stimulant, varié et à l’état de l’art</w:t>
      </w:r>
    </w:p>
    <w:p w:rsidR="00000000" w:rsidDel="00000000" w:rsidP="00000000" w:rsidRDefault="00000000" w:rsidRPr="00000000" w14:paraId="00000044">
      <w:pPr>
        <w:numPr>
          <w:ilvl w:val="0"/>
          <w:numId w:val="5"/>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Rémunération attractive et compétitive</w:t>
      </w:r>
    </w:p>
    <w:p w:rsidR="00000000" w:rsidDel="00000000" w:rsidP="00000000" w:rsidRDefault="00000000" w:rsidRPr="00000000" w14:paraId="00000045">
      <w:pPr>
        <w:numPr>
          <w:ilvl w:val="0"/>
          <w:numId w:val="5"/>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Des bureaux au coeur de Paris</w:t>
      </w:r>
    </w:p>
    <w:p w:rsidR="00000000" w:rsidDel="00000000" w:rsidP="00000000" w:rsidRDefault="00000000" w:rsidRPr="00000000" w14:paraId="00000046">
      <w:pPr>
        <w:ind w:left="720" w:firstLine="0"/>
        <w:rPr>
          <w:rFonts w:ascii="Tahoma" w:cs="Tahoma" w:eastAsia="Tahoma" w:hAnsi="Tahoma"/>
          <w:color w:val="353744"/>
          <w:sz w:val="22"/>
          <w:szCs w:val="22"/>
        </w:rPr>
      </w:pPr>
      <w:r w:rsidDel="00000000" w:rsidR="00000000" w:rsidRPr="00000000">
        <w:rPr>
          <w:rtl w:val="0"/>
        </w:rPr>
      </w:r>
    </w:p>
    <w:p w:rsidR="00000000" w:rsidDel="00000000" w:rsidP="00000000" w:rsidRDefault="00000000" w:rsidRPr="00000000" w14:paraId="00000047">
      <w:pPr>
        <w:rPr>
          <w:rFonts w:ascii="Tahoma" w:cs="Tahoma" w:eastAsia="Tahoma" w:hAnsi="Tahoma"/>
          <w:b w:val="1"/>
          <w:color w:val="353744"/>
          <w:sz w:val="22"/>
          <w:szCs w:val="22"/>
        </w:rPr>
      </w:pPr>
      <w:r w:rsidDel="00000000" w:rsidR="00000000" w:rsidRPr="00000000">
        <w:rPr>
          <w:rFonts w:ascii="Tahoma" w:cs="Tahoma" w:eastAsia="Tahoma" w:hAnsi="Tahoma"/>
          <w:b w:val="1"/>
          <w:color w:val="353744"/>
          <w:sz w:val="22"/>
          <w:szCs w:val="22"/>
          <w:rtl w:val="0"/>
        </w:rPr>
        <w:t xml:space="preserve">PROCÉDURE DE RECRUTEMENT</w:t>
      </w:r>
    </w:p>
    <w:p w:rsidR="00000000" w:rsidDel="00000000" w:rsidP="00000000" w:rsidRDefault="00000000" w:rsidRPr="00000000" w14:paraId="00000048">
      <w:pPr>
        <w:rPr>
          <w:rFonts w:ascii="Tahoma" w:cs="Tahoma" w:eastAsia="Tahoma" w:hAnsi="Tahoma"/>
          <w:b w:val="1"/>
          <w:color w:val="353744"/>
          <w:sz w:val="22"/>
          <w:szCs w:val="22"/>
        </w:rPr>
      </w:pPr>
      <w:r w:rsidDel="00000000" w:rsidR="00000000" w:rsidRPr="00000000">
        <w:rPr>
          <w:rtl w:val="0"/>
        </w:rPr>
      </w:r>
    </w:p>
    <w:p w:rsidR="00000000" w:rsidDel="00000000" w:rsidP="00000000" w:rsidRDefault="00000000" w:rsidRPr="00000000" w14:paraId="00000049">
      <w:pPr>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Après avoir postulé, le recrutement se déroulera de la manière suivante : </w:t>
      </w:r>
    </w:p>
    <w:p w:rsidR="00000000" w:rsidDel="00000000" w:rsidP="00000000" w:rsidRDefault="00000000" w:rsidRPr="00000000" w14:paraId="0000004A">
      <w:pPr>
        <w:numPr>
          <w:ilvl w:val="0"/>
          <w:numId w:val="7"/>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premier entretien avec le directeur de l’équipe</w:t>
      </w:r>
    </w:p>
    <w:p w:rsidR="00000000" w:rsidDel="00000000" w:rsidP="00000000" w:rsidRDefault="00000000" w:rsidRPr="00000000" w14:paraId="0000004B">
      <w:pPr>
        <w:numPr>
          <w:ilvl w:val="0"/>
          <w:numId w:val="7"/>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test à réaliser chez soi</w:t>
      </w:r>
    </w:p>
    <w:p w:rsidR="00000000" w:rsidDel="00000000" w:rsidP="00000000" w:rsidRDefault="00000000" w:rsidRPr="00000000" w14:paraId="0000004C">
      <w:pPr>
        <w:numPr>
          <w:ilvl w:val="0"/>
          <w:numId w:val="7"/>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entretien technique, basé sur le test</w:t>
      </w:r>
    </w:p>
    <w:p w:rsidR="00000000" w:rsidDel="00000000" w:rsidP="00000000" w:rsidRDefault="00000000" w:rsidRPr="00000000" w14:paraId="0000004D">
      <w:pPr>
        <w:numPr>
          <w:ilvl w:val="0"/>
          <w:numId w:val="7"/>
        </w:numPr>
        <w:ind w:left="720" w:hanging="360"/>
        <w:rPr>
          <w:rFonts w:ascii="Tahoma" w:cs="Tahoma" w:eastAsia="Tahoma" w:hAnsi="Tahoma"/>
          <w:color w:val="353744"/>
          <w:sz w:val="22"/>
          <w:szCs w:val="22"/>
        </w:rPr>
      </w:pPr>
      <w:r w:rsidDel="00000000" w:rsidR="00000000" w:rsidRPr="00000000">
        <w:rPr>
          <w:rFonts w:ascii="Tahoma" w:cs="Tahoma" w:eastAsia="Tahoma" w:hAnsi="Tahoma"/>
          <w:color w:val="353744"/>
          <w:sz w:val="22"/>
          <w:szCs w:val="22"/>
          <w:rtl w:val="0"/>
        </w:rPr>
        <w:t xml:space="preserve">Un entretien final avec la directrice du Health Data Hub </w:t>
      </w:r>
      <w:r w:rsidDel="00000000" w:rsidR="00000000" w:rsidRPr="00000000">
        <w:rPr>
          <w:rtl w:val="0"/>
        </w:rPr>
      </w:r>
    </w:p>
    <w:p w:rsidR="00000000" w:rsidDel="00000000" w:rsidP="00000000" w:rsidRDefault="00000000" w:rsidRPr="00000000" w14:paraId="0000004E">
      <w:pPr>
        <w:spacing w:after="240" w:before="240" w:lineRule="auto"/>
        <w:rPr>
          <w:rFonts w:ascii="Tahoma" w:cs="Tahoma" w:eastAsia="Tahoma" w:hAnsi="Tahoma"/>
          <w:color w:val="353744"/>
          <w:sz w:val="22"/>
          <w:szCs w:val="22"/>
        </w:rPr>
      </w:pPr>
      <w:r w:rsidDel="00000000" w:rsidR="00000000" w:rsidRPr="00000000">
        <w:rPr>
          <w:rFonts w:ascii="Tahoma" w:cs="Tahoma" w:eastAsia="Tahoma" w:hAnsi="Tahoma"/>
          <w:b w:val="1"/>
          <w:color w:val="353744"/>
          <w:sz w:val="22"/>
          <w:szCs w:val="22"/>
          <w:rtl w:val="0"/>
        </w:rPr>
        <w:t xml:space="preserve">Pour postuler: </w:t>
      </w:r>
      <w:r w:rsidDel="00000000" w:rsidR="00000000" w:rsidRPr="00000000">
        <w:rPr>
          <w:rFonts w:ascii="Tahoma" w:cs="Tahoma" w:eastAsia="Tahoma" w:hAnsi="Tahoma"/>
          <w:sz w:val="22"/>
          <w:szCs w:val="22"/>
          <w:highlight w:val="white"/>
          <w:rtl w:val="0"/>
        </w:rPr>
        <w:t xml:space="preserve">CV et lettre de motivation à l’adresse </w:t>
      </w:r>
      <w:r w:rsidDel="00000000" w:rsidR="00000000" w:rsidRPr="00000000">
        <w:rPr>
          <w:rFonts w:ascii="Tahoma" w:cs="Tahoma" w:eastAsia="Tahoma" w:hAnsi="Tahoma"/>
          <w:b w:val="1"/>
          <w:color w:val="353744"/>
          <w:sz w:val="22"/>
          <w:szCs w:val="22"/>
          <w:rtl w:val="0"/>
        </w:rPr>
        <w:t xml:space="preserve">jobs@health-data-hub.fr</w:t>
      </w: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fr"/>
      </w:rPr>
    </w:rPrDefault>
    <w:pPrDefault>
      <w:pPr>
        <w:spacing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410" w:hanging="410"/>
      <w:jc w:val="left"/>
    </w:pPr>
    <w:rPr>
      <w:rFonts w:ascii="Verdana" w:cs="Verdana" w:eastAsia="Verdana" w:hAnsi="Verdana"/>
      <w:smallCaps w:val="1"/>
      <w:sz w:val="48"/>
      <w:szCs w:val="48"/>
    </w:rPr>
  </w:style>
  <w:style w:type="paragraph" w:styleId="Heading2">
    <w:name w:val="heading 2"/>
    <w:basedOn w:val="Normal"/>
    <w:next w:val="Normal"/>
    <w:pPr>
      <w:keepNext w:val="1"/>
      <w:keepLines w:val="1"/>
      <w:pBdr>
        <w:bottom w:color="007fa1" w:space="8" w:sz="24" w:val="single"/>
      </w:pBdr>
      <w:shd w:fill="ffffff" w:val="clear"/>
      <w:spacing w:after="360" w:before="40" w:lineRule="auto"/>
      <w:ind w:left="720" w:hanging="720"/>
      <w:jc w:val="left"/>
    </w:pPr>
    <w:rPr>
      <w:b w:val="1"/>
      <w:color w:val="007fa1"/>
      <w:sz w:val="26"/>
      <w:szCs w:val="26"/>
    </w:rPr>
  </w:style>
  <w:style w:type="paragraph" w:styleId="Heading3">
    <w:name w:val="heading 3"/>
    <w:basedOn w:val="Normal"/>
    <w:next w:val="Normal"/>
    <w:pPr>
      <w:keepNext w:val="1"/>
      <w:keepLines w:val="1"/>
      <w:pBdr>
        <w:bottom w:color="000000" w:space="0" w:sz="0" w:val="none"/>
      </w:pBdr>
      <w:shd w:fill="ffffff" w:val="clear"/>
      <w:spacing w:after="240" w:before="240" w:lineRule="auto"/>
      <w:ind w:left="720" w:hanging="720"/>
      <w:jc w:val="left"/>
    </w:pPr>
    <w:rPr>
      <w:b w:val="1"/>
      <w:smallCaps w:val="1"/>
      <w:color w:val="000000"/>
      <w:sz w:val="22"/>
      <w:szCs w:val="22"/>
    </w:rPr>
  </w:style>
  <w:style w:type="paragraph" w:styleId="Heading4">
    <w:name w:val="heading 4"/>
    <w:basedOn w:val="Normal"/>
    <w:next w:val="Normal"/>
    <w:pPr>
      <w:keepNext w:val="1"/>
      <w:keepLines w:val="1"/>
      <w:spacing w:before="40" w:lineRule="auto"/>
      <w:ind w:left="1080" w:hanging="1080"/>
      <w:jc w:val="left"/>
    </w:pPr>
    <w:rPr>
      <w:b w:val="1"/>
      <w:color w:val="1f3864"/>
    </w:rPr>
  </w:style>
  <w:style w:type="paragraph" w:styleId="Heading5">
    <w:name w:val="heading 5"/>
    <w:basedOn w:val="Normal"/>
    <w:next w:val="Normal"/>
    <w:pPr>
      <w:keepNext w:val="1"/>
      <w:keepLines w:val="1"/>
      <w:spacing w:before="40" w:lineRule="auto"/>
      <w:ind w:left="1080" w:hanging="1080"/>
    </w:pPr>
    <w:rPr>
      <w:color w:val="2f5496"/>
    </w:rPr>
  </w:style>
  <w:style w:type="paragraph" w:styleId="Heading6">
    <w:name w:val="heading 6"/>
    <w:basedOn w:val="Normal"/>
    <w:next w:val="Normal"/>
    <w:pPr>
      <w:keepNext w:val="1"/>
      <w:keepLines w:val="1"/>
      <w:spacing w:before="40" w:lineRule="auto"/>
      <w:ind w:left="1440" w:hanging="1440"/>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uiPriority w:val="9"/>
    <w:qFormat w:val="1"/>
    <w:pPr>
      <w:keepNext w:val="1"/>
      <w:keepLines w:val="1"/>
      <w:spacing w:line="240" w:lineRule="auto"/>
      <w:ind w:left="410" w:hanging="410"/>
      <w:jc w:val="left"/>
      <w:outlineLvl w:val="0"/>
    </w:pPr>
    <w:rPr>
      <w:rFonts w:ascii="Verdana" w:cs="Verdana" w:eastAsia="Verdana" w:hAnsi="Verdana"/>
      <w:smallCaps w:val="1"/>
      <w:sz w:val="48"/>
      <w:szCs w:val="48"/>
    </w:rPr>
  </w:style>
  <w:style w:type="paragraph" w:styleId="Titre2">
    <w:name w:val="heading 2"/>
    <w:basedOn w:val="Normal"/>
    <w:next w:val="Normal"/>
    <w:uiPriority w:val="9"/>
    <w:semiHidden w:val="1"/>
    <w:unhideWhenUsed w:val="1"/>
    <w:qFormat w:val="1"/>
    <w:pPr>
      <w:keepNext w:val="1"/>
      <w:keepLines w:val="1"/>
      <w:pBdr>
        <w:bottom w:color="007fa1" w:space="8" w:sz="24" w:val="single"/>
      </w:pBdr>
      <w:shd w:color="auto" w:fill="ffffff" w:val="clear"/>
      <w:spacing w:after="360" w:before="40"/>
      <w:ind w:left="720" w:hanging="720"/>
      <w:jc w:val="left"/>
      <w:outlineLvl w:val="1"/>
    </w:pPr>
    <w:rPr>
      <w:b w:val="1"/>
      <w:color w:val="007fa1"/>
      <w:sz w:val="26"/>
      <w:szCs w:val="26"/>
    </w:rPr>
  </w:style>
  <w:style w:type="paragraph" w:styleId="Titre3">
    <w:name w:val="heading 3"/>
    <w:basedOn w:val="Normal"/>
    <w:next w:val="Normal"/>
    <w:uiPriority w:val="9"/>
    <w:semiHidden w:val="1"/>
    <w:unhideWhenUsed w:val="1"/>
    <w:qFormat w:val="1"/>
    <w:pPr>
      <w:keepNext w:val="1"/>
      <w:keepLines w:val="1"/>
      <w:pBdr>
        <w:bottom w:color="000000" w:space="0" w:sz="0" w:val="none"/>
      </w:pBdr>
      <w:shd w:color="auto" w:fill="ffffff" w:val="clear"/>
      <w:spacing w:after="240" w:before="240"/>
      <w:ind w:left="720" w:hanging="720"/>
      <w:jc w:val="left"/>
      <w:outlineLvl w:val="2"/>
    </w:pPr>
    <w:rPr>
      <w:b w:val="1"/>
      <w:smallCaps w:val="1"/>
      <w:color w:val="000000"/>
      <w:sz w:val="22"/>
      <w:szCs w:val="22"/>
    </w:rPr>
  </w:style>
  <w:style w:type="paragraph" w:styleId="Titre4">
    <w:name w:val="heading 4"/>
    <w:basedOn w:val="Normal"/>
    <w:next w:val="Normal"/>
    <w:uiPriority w:val="9"/>
    <w:semiHidden w:val="1"/>
    <w:unhideWhenUsed w:val="1"/>
    <w:qFormat w:val="1"/>
    <w:pPr>
      <w:keepNext w:val="1"/>
      <w:keepLines w:val="1"/>
      <w:spacing w:before="40"/>
      <w:ind w:left="1080" w:hanging="1080"/>
      <w:jc w:val="left"/>
      <w:outlineLvl w:val="3"/>
    </w:pPr>
    <w:rPr>
      <w:b w:val="1"/>
      <w:color w:val="1f3864"/>
    </w:rPr>
  </w:style>
  <w:style w:type="paragraph" w:styleId="Titre5">
    <w:name w:val="heading 5"/>
    <w:basedOn w:val="Normal"/>
    <w:next w:val="Normal"/>
    <w:uiPriority w:val="9"/>
    <w:semiHidden w:val="1"/>
    <w:unhideWhenUsed w:val="1"/>
    <w:qFormat w:val="1"/>
    <w:pPr>
      <w:keepNext w:val="1"/>
      <w:keepLines w:val="1"/>
      <w:spacing w:before="40"/>
      <w:ind w:left="1080" w:hanging="1080"/>
      <w:outlineLvl w:val="4"/>
    </w:pPr>
    <w:rPr>
      <w:color w:val="2f5496"/>
    </w:rPr>
  </w:style>
  <w:style w:type="paragraph" w:styleId="Titre6">
    <w:name w:val="heading 6"/>
    <w:basedOn w:val="Normal"/>
    <w:next w:val="Normal"/>
    <w:uiPriority w:val="9"/>
    <w:semiHidden w:val="1"/>
    <w:unhideWhenUsed w:val="1"/>
    <w:qFormat w:val="1"/>
    <w:pPr>
      <w:keepNext w:val="1"/>
      <w:keepLines w:val="1"/>
      <w:spacing w:before="40"/>
      <w:ind w:left="1440" w:hanging="1440"/>
      <w:outlineLvl w:val="5"/>
    </w:pPr>
    <w:rPr>
      <w:color w:val="1f3863"/>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paragraph" w:styleId="Sous-titre">
    <w:name w:val="Subtitle"/>
    <w:basedOn w:val="Normal"/>
    <w:next w:val="Normal"/>
    <w:uiPriority w:val="11"/>
    <w:qFormat w:val="1"/>
    <w:rPr>
      <w:color w:val="5a5a5a"/>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ealth-data-hub.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EF8lW2J2jtnzla8KoDOul1Ov+g==">AMUW2mWGTo5w9dsnmcVa1mpPJwJVcwfp4aeJdfXYzMsefVIuspH3JwSiGCVcQoCOVh97T6sr16LHxx0TcDDqfXt+eXDtMUptmeL3ufiXNcnZqPLpAVQgE2OxnpaQZQK+JQGbu5GBSwRF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2021-07-22T08:48:00Z</dcterms:created>
</cp:coreProperties>
</file>