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320" w:lineRule="auto"/>
        <w:rPr>
          <w:rFonts w:ascii="Proxima Nova" w:cs="Proxima Nova" w:eastAsia="Proxima Nova" w:hAnsi="Proxima Nova"/>
          <w:b w:val="1"/>
          <w:color w:val="353744"/>
          <w:sz w:val="36"/>
          <w:szCs w:val="36"/>
        </w:rPr>
      </w:pPr>
      <w:r w:rsidDel="00000000" w:rsidR="00000000" w:rsidRPr="00000000">
        <w:rPr>
          <w:rFonts w:ascii="Tahoma" w:cs="Tahoma" w:eastAsia="Tahoma" w:hAnsi="Tahoma"/>
          <w:b w:val="1"/>
          <w:color w:val="036287"/>
          <w:sz w:val="36"/>
          <w:szCs w:val="36"/>
          <w:rtl w:val="0"/>
        </w:rPr>
        <w:t xml:space="preserve">Directeur de la communication H/F</w:t>
      </w:r>
      <w:r w:rsidDel="00000000" w:rsidR="00000000" w:rsidRPr="00000000">
        <w:rPr>
          <w:rtl w:val="0"/>
        </w:rPr>
      </w:r>
    </w:p>
    <w:p w:rsidR="00000000" w:rsidDel="00000000" w:rsidP="00000000" w:rsidRDefault="00000000" w:rsidRPr="00000000" w14:paraId="00000002">
      <w:pPr>
        <w:pStyle w:val="Subtitle"/>
        <w:keepNext w:val="0"/>
        <w:keepLines w:val="0"/>
        <w:spacing w:after="0" w:before="0" w:lineRule="auto"/>
        <w:rPr>
          <w:rFonts w:ascii="Tahoma" w:cs="Tahoma" w:eastAsia="Tahoma" w:hAnsi="Tahoma"/>
          <w:b w:val="1"/>
          <w:i w:val="0"/>
          <w:color w:val="036287"/>
          <w:sz w:val="28"/>
          <w:szCs w:val="28"/>
        </w:rPr>
      </w:pPr>
      <w:bookmarkStart w:colFirst="0" w:colLast="0" w:name="_heading=h.1fob9te" w:id="0"/>
      <w:bookmarkEnd w:id="0"/>
      <w:r w:rsidDel="00000000" w:rsidR="00000000" w:rsidRPr="00000000">
        <w:rPr>
          <w:rFonts w:ascii="Tahoma" w:cs="Tahoma" w:eastAsia="Tahoma" w:hAnsi="Tahoma"/>
          <w:b w:val="1"/>
          <w:i w:val="0"/>
          <w:color w:val="036287"/>
          <w:sz w:val="28"/>
          <w:szCs w:val="28"/>
          <w:rtl w:val="0"/>
        </w:rPr>
        <w:t xml:space="preserve">Direction Communication</w:t>
      </w:r>
    </w:p>
    <w:p w:rsidR="00000000" w:rsidDel="00000000" w:rsidP="00000000" w:rsidRDefault="00000000" w:rsidRPr="00000000" w14:paraId="00000003">
      <w:pPr>
        <w:tabs>
          <w:tab w:val="left" w:pos="284"/>
        </w:tabs>
        <w:jc w:val="both"/>
        <w:rPr>
          <w:rFonts w:ascii="Proxima Nova" w:cs="Proxima Nova" w:eastAsia="Proxima Nova" w:hAnsi="Proxima Nova"/>
          <w:color w:val="353744"/>
          <w:sz w:val="22"/>
          <w:szCs w:val="22"/>
        </w:rPr>
      </w:pPr>
      <w:r w:rsidDel="00000000" w:rsidR="00000000" w:rsidRPr="00000000">
        <w:rPr>
          <w:rtl w:val="0"/>
        </w:rPr>
      </w:r>
    </w:p>
    <w:p w:rsidR="00000000" w:rsidDel="00000000" w:rsidP="00000000" w:rsidRDefault="00000000" w:rsidRPr="00000000" w14:paraId="00000004">
      <w:pPr>
        <w:tabs>
          <w:tab w:val="left" w:pos="284"/>
        </w:tabs>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Contrat – CDI, temps plein</w:t>
      </w:r>
    </w:p>
    <w:p w:rsidR="00000000" w:rsidDel="00000000" w:rsidP="00000000" w:rsidRDefault="00000000" w:rsidRPr="00000000" w14:paraId="00000005">
      <w:pPr>
        <w:tabs>
          <w:tab w:val="left" w:pos="284"/>
        </w:tabs>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Rémunération – selon expérience et profil</w:t>
      </w:r>
    </w:p>
    <w:p w:rsidR="00000000" w:rsidDel="00000000" w:rsidP="00000000" w:rsidRDefault="00000000" w:rsidRPr="00000000" w14:paraId="00000006">
      <w:pPr>
        <w:tabs>
          <w:tab w:val="left" w:pos="284"/>
        </w:tabs>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Date de début – dès que possible</w:t>
      </w:r>
    </w:p>
    <w:p w:rsidR="00000000" w:rsidDel="00000000" w:rsidP="00000000" w:rsidRDefault="00000000" w:rsidRPr="00000000" w14:paraId="00000007">
      <w:pPr>
        <w:tabs>
          <w:tab w:val="left" w:pos="284"/>
        </w:tabs>
        <w:jc w:val="both"/>
        <w:rPr>
          <w:rFonts w:ascii="Proxima Nova" w:cs="Proxima Nova" w:eastAsia="Proxima Nova" w:hAnsi="Proxima Nova"/>
          <w:color w:val="353744"/>
          <w:sz w:val="20"/>
          <w:szCs w:val="20"/>
        </w:rPr>
      </w:pPr>
      <w:r w:rsidDel="00000000" w:rsidR="00000000" w:rsidRPr="00000000">
        <w:rPr>
          <w:rtl w:val="0"/>
        </w:rPr>
      </w:r>
    </w:p>
    <w:p w:rsidR="00000000" w:rsidDel="00000000" w:rsidP="00000000" w:rsidRDefault="00000000" w:rsidRPr="00000000" w14:paraId="00000008">
      <w:pPr>
        <w:spacing w:after="200" w:before="480" w:lineRule="auto"/>
        <w:rPr>
          <w:rFonts w:ascii="Tahoma" w:cs="Tahoma" w:eastAsia="Tahoma" w:hAnsi="Tahoma"/>
          <w:b w:val="1"/>
          <w:color w:val="353744"/>
          <w:sz w:val="28"/>
          <w:szCs w:val="28"/>
        </w:rPr>
      </w:pPr>
      <w:bookmarkStart w:colFirst="0" w:colLast="0" w:name="_heading=h.2et92p0" w:id="1"/>
      <w:bookmarkEnd w:id="1"/>
      <w:r w:rsidDel="00000000" w:rsidR="00000000" w:rsidRPr="00000000">
        <w:rPr>
          <w:rFonts w:ascii="Tahoma" w:cs="Tahoma" w:eastAsia="Tahoma" w:hAnsi="Tahoma"/>
          <w:b w:val="1"/>
          <w:color w:val="353744"/>
          <w:sz w:val="28"/>
          <w:szCs w:val="28"/>
          <w:rtl w:val="0"/>
        </w:rPr>
        <w:t xml:space="preserve">LE HEALTH DATA HUB</w:t>
      </w:r>
    </w:p>
    <w:p w:rsidR="00000000" w:rsidDel="00000000" w:rsidP="00000000" w:rsidRDefault="00000000" w:rsidRPr="00000000" w14:paraId="00000009">
      <w:pPr>
        <w:spacing w:after="240" w:before="200" w:lineRule="auto"/>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Le Health Data Hub (HDH) ou « plateforme des données de santé » est un Groupement d'Intérêt Public dont l’objectif est de faciliter les travaux de recherche sur le patrimoine des données de santé. Il interagit avec de nombreux acteurs tels que les Ministères, la Caisse Nationale d'Assurance Maladie, les hôpitaux. La transparence et la participation des citoyens sont des engagements clés du HDH. </w:t>
      </w:r>
    </w:p>
    <w:p w:rsidR="00000000" w:rsidDel="00000000" w:rsidP="00000000" w:rsidRDefault="00000000" w:rsidRPr="00000000" w14:paraId="0000000A">
      <w:pPr>
        <w:spacing w:after="160" w:lineRule="auto"/>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Le Health Data Hub c’est : </w:t>
      </w:r>
    </w:p>
    <w:p w:rsidR="00000000" w:rsidDel="00000000" w:rsidP="00000000" w:rsidRDefault="00000000" w:rsidRPr="00000000" w14:paraId="0000000B">
      <w:pPr>
        <w:numPr>
          <w:ilvl w:val="0"/>
          <w:numId w:val="2"/>
        </w:numPr>
        <w:spacing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Une plateforme technologique à l’état de l’art disponible pour héberger les premiers projets de recherche </w:t>
      </w:r>
    </w:p>
    <w:p w:rsidR="00000000" w:rsidDel="00000000" w:rsidP="00000000" w:rsidRDefault="00000000" w:rsidRPr="00000000" w14:paraId="0000000C">
      <w:pPr>
        <w:numPr>
          <w:ilvl w:val="0"/>
          <w:numId w:val="2"/>
        </w:numPr>
        <w:spacing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Une équipe pluridisciplinaire d’une cinquantaine personnes impliquées dans un projet ambitieux  au service de l’intérêt général</w:t>
      </w:r>
    </w:p>
    <w:p w:rsidR="00000000" w:rsidDel="00000000" w:rsidP="00000000" w:rsidRDefault="00000000" w:rsidRPr="00000000" w14:paraId="0000000D">
      <w:pPr>
        <w:numPr>
          <w:ilvl w:val="0"/>
          <w:numId w:val="2"/>
        </w:numPr>
        <w:spacing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Près de 1 pétaoctet de données de santé traitées par an lorsque le HDH aura atteint son régime de croisière</w:t>
      </w:r>
    </w:p>
    <w:p w:rsidR="00000000" w:rsidDel="00000000" w:rsidP="00000000" w:rsidRDefault="00000000" w:rsidRPr="00000000" w14:paraId="0000000E">
      <w:pPr>
        <w:numPr>
          <w:ilvl w:val="0"/>
          <w:numId w:val="2"/>
        </w:numPr>
        <w:spacing w:after="200"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28 projets pilotes accompagnés - Exemples : </w:t>
      </w:r>
    </w:p>
    <w:p w:rsidR="00000000" w:rsidDel="00000000" w:rsidP="00000000" w:rsidRDefault="00000000" w:rsidRPr="00000000" w14:paraId="0000000F">
      <w:pPr>
        <w:numPr>
          <w:ilvl w:val="0"/>
          <w:numId w:val="1"/>
        </w:numPr>
        <w:spacing w:after="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Analyse du non recours au soin pendant le confinement à partir des résumés de passages aux urgences</w:t>
      </w:r>
    </w:p>
    <w:p w:rsidR="00000000" w:rsidDel="00000000" w:rsidP="00000000" w:rsidRDefault="00000000" w:rsidRPr="00000000" w14:paraId="00000010">
      <w:pPr>
        <w:numPr>
          <w:ilvl w:val="0"/>
          <w:numId w:val="1"/>
        </w:numPr>
        <w:spacing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Etude de l’impact et des traitements sur des données de vie réelle afin d’identifier les meilleurs schémas thérapeutiques pour le traitement du sarcome </w:t>
      </w:r>
    </w:p>
    <w:p w:rsidR="00000000" w:rsidDel="00000000" w:rsidP="00000000" w:rsidRDefault="00000000" w:rsidRPr="00000000" w14:paraId="00000011">
      <w:pPr>
        <w:numPr>
          <w:ilvl w:val="0"/>
          <w:numId w:val="1"/>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Evaluation de l’apport de l’IA dans le dépistage organisé du cancer du sein</w:t>
      </w:r>
    </w:p>
    <w:p w:rsidR="00000000" w:rsidDel="00000000" w:rsidP="00000000" w:rsidRDefault="00000000" w:rsidRPr="00000000" w14:paraId="00000012">
      <w:pPr>
        <w:rPr>
          <w:rFonts w:ascii="Proxima Nova" w:cs="Proxima Nova" w:eastAsia="Proxima Nova" w:hAnsi="Proxima Nova"/>
          <w:color w:val="353744"/>
          <w:sz w:val="22"/>
          <w:szCs w:val="22"/>
        </w:rPr>
      </w:pPr>
      <w:r w:rsidDel="00000000" w:rsidR="00000000" w:rsidRPr="00000000">
        <w:rPr>
          <w:rtl w:val="0"/>
        </w:rPr>
      </w:r>
    </w:p>
    <w:p w:rsidR="00000000" w:rsidDel="00000000" w:rsidP="00000000" w:rsidRDefault="00000000" w:rsidRPr="00000000" w14:paraId="00000013">
      <w:pPr>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Le HDH porte une mission de facilitation de la recherche médicale, et de ce fait est un vecteur d’amélioration de la vie des patients. Au cœur des enjeux du numérique et de la santé, il est porté par une équipe dynamique qui contribue au partage de la connaissance à travers l’open source.</w:t>
      </w:r>
    </w:p>
    <w:p w:rsidR="00000000" w:rsidDel="00000000" w:rsidP="00000000" w:rsidRDefault="00000000" w:rsidRPr="00000000" w14:paraId="00000014">
      <w:pPr>
        <w:jc w:val="both"/>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15">
      <w:pPr>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Plus d'informations sur le Health Data Hub et son équipe sur notre </w:t>
      </w:r>
      <w:hyperlink r:id="rId7">
        <w:r w:rsidDel="00000000" w:rsidR="00000000" w:rsidRPr="00000000">
          <w:rPr>
            <w:rFonts w:ascii="Tahoma" w:cs="Tahoma" w:eastAsia="Tahoma" w:hAnsi="Tahoma"/>
            <w:color w:val="353744"/>
            <w:sz w:val="22"/>
            <w:szCs w:val="22"/>
            <w:u w:val="single"/>
            <w:rtl w:val="0"/>
          </w:rPr>
          <w:t xml:space="preserve">site</w:t>
        </w:r>
      </w:hyperlink>
      <w:r w:rsidDel="00000000" w:rsidR="00000000" w:rsidRPr="00000000">
        <w:rPr>
          <w:rFonts w:ascii="Tahoma" w:cs="Tahoma" w:eastAsia="Tahoma" w:hAnsi="Tahoma"/>
          <w:color w:val="353744"/>
          <w:sz w:val="22"/>
          <w:szCs w:val="22"/>
          <w:u w:val="single"/>
          <w:rtl w:val="0"/>
        </w:rPr>
        <w:t xml:space="preserve">.</w:t>
      </w:r>
      <w:r w:rsidDel="00000000" w:rsidR="00000000" w:rsidRPr="00000000">
        <w:rPr>
          <w:rtl w:val="0"/>
        </w:rPr>
      </w:r>
    </w:p>
    <w:p w:rsidR="00000000" w:rsidDel="00000000" w:rsidP="00000000" w:rsidRDefault="00000000" w:rsidRPr="00000000" w14:paraId="00000016">
      <w:pPr>
        <w:spacing w:before="480" w:lineRule="auto"/>
        <w:rPr>
          <w:rFonts w:ascii="Proxima Nova" w:cs="Proxima Nova" w:eastAsia="Proxima Nova" w:hAnsi="Proxima Nova"/>
          <w:b w:val="1"/>
          <w:color w:val="353744"/>
          <w:sz w:val="28"/>
          <w:szCs w:val="28"/>
        </w:rPr>
      </w:pPr>
      <w:bookmarkStart w:colFirst="0" w:colLast="0" w:name="_heading=h.tyjcwt" w:id="2"/>
      <w:bookmarkEnd w:id="2"/>
      <w:r w:rsidDel="00000000" w:rsidR="00000000" w:rsidRPr="00000000">
        <w:rPr>
          <w:rtl w:val="0"/>
        </w:rPr>
      </w:r>
    </w:p>
    <w:p w:rsidR="00000000" w:rsidDel="00000000" w:rsidP="00000000" w:rsidRDefault="00000000" w:rsidRPr="00000000" w14:paraId="00000017">
      <w:pPr>
        <w:spacing w:before="480" w:lineRule="auto"/>
        <w:rPr>
          <w:rFonts w:ascii="Tahoma" w:cs="Tahoma" w:eastAsia="Tahoma" w:hAnsi="Tahoma"/>
          <w:b w:val="1"/>
          <w:color w:val="353744"/>
          <w:sz w:val="28"/>
          <w:szCs w:val="28"/>
        </w:rPr>
      </w:pPr>
      <w:bookmarkStart w:colFirst="0" w:colLast="0" w:name="_heading=h.12a3wbvkhzv7" w:id="3"/>
      <w:bookmarkEnd w:id="3"/>
      <w:r w:rsidDel="00000000" w:rsidR="00000000" w:rsidRPr="00000000">
        <w:rPr>
          <w:rtl w:val="0"/>
        </w:rPr>
      </w:r>
    </w:p>
    <w:p w:rsidR="00000000" w:rsidDel="00000000" w:rsidP="00000000" w:rsidRDefault="00000000" w:rsidRPr="00000000" w14:paraId="00000018">
      <w:pPr>
        <w:spacing w:before="480" w:lineRule="auto"/>
        <w:rPr>
          <w:rFonts w:ascii="Tahoma" w:cs="Tahoma" w:eastAsia="Tahoma" w:hAnsi="Tahoma"/>
          <w:b w:val="1"/>
          <w:color w:val="353744"/>
          <w:sz w:val="28"/>
          <w:szCs w:val="28"/>
        </w:rPr>
      </w:pPr>
      <w:bookmarkStart w:colFirst="0" w:colLast="0" w:name="_heading=h.qn4c5cyswb4r" w:id="4"/>
      <w:bookmarkEnd w:id="4"/>
      <w:r w:rsidDel="00000000" w:rsidR="00000000" w:rsidRPr="00000000">
        <w:rPr>
          <w:rFonts w:ascii="Tahoma" w:cs="Tahoma" w:eastAsia="Tahoma" w:hAnsi="Tahoma"/>
          <w:b w:val="1"/>
          <w:color w:val="353744"/>
          <w:sz w:val="28"/>
          <w:szCs w:val="28"/>
          <w:rtl w:val="0"/>
        </w:rPr>
        <w:t xml:space="preserve">DESCRIPTIF DU POSTE</w:t>
      </w:r>
    </w:p>
    <w:p w:rsidR="00000000" w:rsidDel="00000000" w:rsidP="00000000" w:rsidRDefault="00000000" w:rsidRPr="00000000" w14:paraId="00000019">
      <w:pPr>
        <w:jc w:val="both"/>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1A">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Rattaché au directeur du Health Data Hub, le directeur de la communication d’établir et de mettre en oeuvre une stratégie de communication impactante et adaptée, en s’appuyant sur une petite équipe de chargés de communication (deux personnes et un stagiaire) et les directions scientifiques, médicales et citoyennes, ainsi que le chef de cabinet. </w:t>
      </w:r>
    </w:p>
    <w:p w:rsidR="00000000" w:rsidDel="00000000" w:rsidP="00000000" w:rsidRDefault="00000000" w:rsidRPr="00000000" w14:paraId="0000001B">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D">
      <w:pPr>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**Etablir la stratégie de communication**</w:t>
      </w:r>
    </w:p>
    <w:p w:rsidR="00000000" w:rsidDel="00000000" w:rsidP="00000000" w:rsidRDefault="00000000" w:rsidRPr="00000000" w14:paraId="0000001E">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-Identifier les différentes cibles de communication et concevoir une stratégie de création de contenu et de modalités de diffusion de ces contenus adaptés à ces cibles </w:t>
      </w:r>
    </w:p>
    <w:p w:rsidR="00000000" w:rsidDel="00000000" w:rsidP="00000000" w:rsidRDefault="00000000" w:rsidRPr="00000000" w14:paraId="0000001F">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-Appuyer la direction scientifique dans la stratégie de communication à l’international </w:t>
      </w:r>
    </w:p>
    <w:p w:rsidR="00000000" w:rsidDel="00000000" w:rsidP="00000000" w:rsidRDefault="00000000" w:rsidRPr="00000000" w14:paraId="00000020">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-Mettre en valeur les partenariats et partenaires du Health Data Hub avec des dispositifs adaptés à différentes étapes de nos partenariats </w:t>
      </w:r>
    </w:p>
    <w:p w:rsidR="00000000" w:rsidDel="00000000" w:rsidP="00000000" w:rsidRDefault="00000000" w:rsidRPr="00000000" w14:paraId="00000021">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-Une analyse des risques et une politique de gestion de crise devra être mise en place étant donné le caractère politique du projet </w:t>
      </w:r>
    </w:p>
    <w:p w:rsidR="00000000" w:rsidDel="00000000" w:rsidP="00000000" w:rsidRDefault="00000000" w:rsidRPr="00000000" w14:paraId="00000022">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-Assurer une veille des communications visant le Health Data Hub ou les acteurs de l’écosystème des données de santé, le projet étant lui même suivi à très haut niveau et fortement médiatisé </w:t>
      </w:r>
    </w:p>
    <w:p w:rsidR="00000000" w:rsidDel="00000000" w:rsidP="00000000" w:rsidRDefault="00000000" w:rsidRPr="00000000" w14:paraId="00000023">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-Conduire une stratégie d’influence en identifiant les relais, média, colloques ou événements où le Health Data Hub devrait mettre son action en valeur </w:t>
      </w:r>
    </w:p>
    <w:p w:rsidR="00000000" w:rsidDel="00000000" w:rsidP="00000000" w:rsidRDefault="00000000" w:rsidRPr="00000000" w14:paraId="00000024">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-Construire des indicateurs de résultats et suivre l’impact de la stratégie de communication  </w:t>
      </w:r>
    </w:p>
    <w:p w:rsidR="00000000" w:rsidDel="00000000" w:rsidP="00000000" w:rsidRDefault="00000000" w:rsidRPr="00000000" w14:paraId="00000025">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6">
      <w:pPr>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**Mise en oeuvre de la stratégie de communication en matière de présence en ligne ou physique**</w:t>
      </w:r>
    </w:p>
    <w:p w:rsidR="00000000" w:rsidDel="00000000" w:rsidP="00000000" w:rsidRDefault="00000000" w:rsidRPr="00000000" w14:paraId="00000027">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-Recueillir les besoins de communication de l’ensemble des directions scientifiques et métier </w:t>
      </w:r>
    </w:p>
    <w:p w:rsidR="00000000" w:rsidDel="00000000" w:rsidP="00000000" w:rsidRDefault="00000000" w:rsidRPr="00000000" w14:paraId="00000028">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-Assurer une forte présence en ligne du Health Data Hub avec la production de contenus réguliers et adaptés (communiqués de presse, actualités, réseaux sociaux, mise en valeur du site internet, articles de presse, vidéos, etc.)</w:t>
      </w:r>
    </w:p>
    <w:p w:rsidR="00000000" w:rsidDel="00000000" w:rsidP="00000000" w:rsidRDefault="00000000" w:rsidRPr="00000000" w14:paraId="00000029">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-Gérer le site internet et les adresses génériques et évaluer la pertinence des outils de communication et de leur efficacité dans une démarche d’amélioration continue</w:t>
      </w:r>
    </w:p>
    <w:p w:rsidR="00000000" w:rsidDel="00000000" w:rsidP="00000000" w:rsidRDefault="00000000" w:rsidRPr="00000000" w14:paraId="0000002A">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-Appuyer le chef de cabinet dans la gestion des relations presse et la conception d’éléments de langage adaptés </w:t>
      </w:r>
    </w:p>
    <w:p w:rsidR="00000000" w:rsidDel="00000000" w:rsidP="00000000" w:rsidRDefault="00000000" w:rsidRPr="00000000" w14:paraId="0000002B">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-Appuyer les directions métier dans la mise en forme et la valorisation des supports de communication ou à visée pédagogique (formations, infographie, etc.) </w:t>
      </w:r>
    </w:p>
    <w:p w:rsidR="00000000" w:rsidDel="00000000" w:rsidP="00000000" w:rsidRDefault="00000000" w:rsidRPr="00000000" w14:paraId="0000002C">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-Organiser des événements (colloques) et appuyer les directions métier dans l’organisation de leurs événements d’animation (meet-up, cérémonie d’annonce de lauréats d’un appel à projets, etc.)</w:t>
      </w:r>
    </w:p>
    <w:p w:rsidR="00000000" w:rsidDel="00000000" w:rsidP="00000000" w:rsidRDefault="00000000" w:rsidRPr="00000000" w14:paraId="0000002D">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-Identifier les prestataires, les piloter, piloter le budget affecté à la direction</w:t>
      </w:r>
    </w:p>
    <w:p w:rsidR="00000000" w:rsidDel="00000000" w:rsidP="00000000" w:rsidRDefault="00000000" w:rsidRPr="00000000" w14:paraId="0000002E">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F">
      <w:pPr>
        <w:spacing w:before="480" w:lineRule="auto"/>
        <w:rPr>
          <w:rFonts w:ascii="Tahoma" w:cs="Tahoma" w:eastAsia="Tahoma" w:hAnsi="Tahoma"/>
          <w:b w:val="1"/>
          <w:color w:val="353744"/>
          <w:sz w:val="28"/>
          <w:szCs w:val="28"/>
        </w:rPr>
      </w:pPr>
      <w:r w:rsidDel="00000000" w:rsidR="00000000" w:rsidRPr="00000000">
        <w:rPr>
          <w:rFonts w:ascii="Tahoma" w:cs="Tahoma" w:eastAsia="Tahoma" w:hAnsi="Tahoma"/>
          <w:b w:val="1"/>
          <w:color w:val="353744"/>
          <w:sz w:val="28"/>
          <w:szCs w:val="28"/>
          <w:rtl w:val="0"/>
        </w:rPr>
        <w:t xml:space="preserve">PROFIL RECHERCHE</w:t>
      </w:r>
    </w:p>
    <w:p w:rsidR="00000000" w:rsidDel="00000000" w:rsidP="00000000" w:rsidRDefault="00000000" w:rsidRPr="00000000" w14:paraId="00000030">
      <w:pPr>
        <w:tabs>
          <w:tab w:val="left" w:pos="284"/>
        </w:tabs>
        <w:jc w:val="both"/>
        <w:rPr>
          <w:rFonts w:ascii="Tahoma" w:cs="Tahoma" w:eastAsia="Tahoma" w:hAnsi="Tahoma"/>
          <w:b w:val="1"/>
          <w:color w:val="353744"/>
          <w:sz w:val="28"/>
          <w:szCs w:val="28"/>
        </w:rPr>
      </w:pPr>
      <w:bookmarkStart w:colFirst="0" w:colLast="0" w:name="_heading=h.x1x5nzea5wb8" w:id="5"/>
      <w:bookmarkEnd w:id="5"/>
      <w:r w:rsidDel="00000000" w:rsidR="00000000" w:rsidRPr="00000000">
        <w:rPr>
          <w:rtl w:val="0"/>
        </w:rPr>
      </w:r>
    </w:p>
    <w:p w:rsidR="00000000" w:rsidDel="00000000" w:rsidP="00000000" w:rsidRDefault="00000000" w:rsidRPr="00000000" w14:paraId="00000031">
      <w:pPr>
        <w:tabs>
          <w:tab w:val="right" w:pos="8010"/>
        </w:tabs>
        <w:jc w:val="both"/>
        <w:rPr>
          <w:rFonts w:ascii="Tahoma" w:cs="Tahoma" w:eastAsia="Tahoma" w:hAnsi="Tahoma"/>
          <w:b w:val="1"/>
          <w:color w:val="353744"/>
          <w:sz w:val="22"/>
          <w:szCs w:val="22"/>
        </w:rPr>
      </w:pPr>
      <w:bookmarkStart w:colFirst="0" w:colLast="0" w:name="_heading=h.tpljyeg2r680" w:id="6"/>
      <w:bookmarkEnd w:id="6"/>
      <w:r w:rsidDel="00000000" w:rsidR="00000000" w:rsidRPr="00000000">
        <w:rPr>
          <w:rFonts w:ascii="Tahoma" w:cs="Tahoma" w:eastAsia="Tahoma" w:hAnsi="Tahoma"/>
          <w:b w:val="1"/>
          <w:color w:val="353744"/>
          <w:sz w:val="22"/>
          <w:szCs w:val="22"/>
          <w:rtl w:val="0"/>
        </w:rPr>
        <w:t xml:space="preserve">**Compétences techniques**</w:t>
      </w:r>
    </w:p>
    <w:p w:rsidR="00000000" w:rsidDel="00000000" w:rsidP="00000000" w:rsidRDefault="00000000" w:rsidRPr="00000000" w14:paraId="00000032">
      <w:pPr>
        <w:tabs>
          <w:tab w:val="right" w:pos="8010"/>
        </w:tabs>
        <w:jc w:val="both"/>
        <w:rPr>
          <w:rFonts w:ascii="Tahoma" w:cs="Tahoma" w:eastAsia="Tahoma" w:hAnsi="Tahoma"/>
          <w:color w:val="353744"/>
          <w:sz w:val="22"/>
          <w:szCs w:val="22"/>
        </w:rPr>
      </w:pPr>
      <w:bookmarkStart w:colFirst="0" w:colLast="0" w:name="_heading=h.hda7tc8un3rw" w:id="7"/>
      <w:bookmarkEnd w:id="7"/>
      <w:r w:rsidDel="00000000" w:rsidR="00000000" w:rsidRPr="00000000">
        <w:rPr>
          <w:rFonts w:ascii="Tahoma" w:cs="Tahoma" w:eastAsia="Tahoma" w:hAnsi="Tahoma"/>
          <w:color w:val="353744"/>
          <w:sz w:val="22"/>
          <w:szCs w:val="22"/>
          <w:rtl w:val="0"/>
        </w:rPr>
        <w:t xml:space="preserve">5-10 ans d’expérience minimum dans un univers digital</w:t>
      </w:r>
    </w:p>
    <w:p w:rsidR="00000000" w:rsidDel="00000000" w:rsidP="00000000" w:rsidRDefault="00000000" w:rsidRPr="00000000" w14:paraId="00000033">
      <w:pPr>
        <w:tabs>
          <w:tab w:val="right" w:pos="8010"/>
        </w:tabs>
        <w:jc w:val="both"/>
        <w:rPr>
          <w:rFonts w:ascii="Tahoma" w:cs="Tahoma" w:eastAsia="Tahoma" w:hAnsi="Tahoma"/>
          <w:color w:val="353744"/>
          <w:sz w:val="22"/>
          <w:szCs w:val="22"/>
        </w:rPr>
      </w:pPr>
      <w:bookmarkStart w:colFirst="0" w:colLast="0" w:name="_heading=h.hxao95c3nlns" w:id="8"/>
      <w:bookmarkEnd w:id="8"/>
      <w:r w:rsidDel="00000000" w:rsidR="00000000" w:rsidRPr="00000000">
        <w:rPr>
          <w:rFonts w:ascii="Tahoma" w:cs="Tahoma" w:eastAsia="Tahoma" w:hAnsi="Tahoma"/>
          <w:color w:val="353744"/>
          <w:sz w:val="22"/>
          <w:szCs w:val="22"/>
          <w:rtl w:val="0"/>
        </w:rPr>
        <w:t xml:space="preserve">Bonne connaissance de l’écosystème santé / numérique</w:t>
      </w:r>
    </w:p>
    <w:p w:rsidR="00000000" w:rsidDel="00000000" w:rsidP="00000000" w:rsidRDefault="00000000" w:rsidRPr="00000000" w14:paraId="00000034">
      <w:pPr>
        <w:tabs>
          <w:tab w:val="right" w:pos="8010"/>
        </w:tabs>
        <w:jc w:val="both"/>
        <w:rPr>
          <w:rFonts w:ascii="Tahoma" w:cs="Tahoma" w:eastAsia="Tahoma" w:hAnsi="Tahoma"/>
          <w:color w:val="353744"/>
          <w:sz w:val="22"/>
          <w:szCs w:val="22"/>
        </w:rPr>
      </w:pPr>
      <w:bookmarkStart w:colFirst="0" w:colLast="0" w:name="_heading=h.7syz6gx9alsn" w:id="9"/>
      <w:bookmarkEnd w:id="9"/>
      <w:r w:rsidDel="00000000" w:rsidR="00000000" w:rsidRPr="00000000">
        <w:rPr>
          <w:rFonts w:ascii="Tahoma" w:cs="Tahoma" w:eastAsia="Tahoma" w:hAnsi="Tahoma"/>
          <w:color w:val="353744"/>
          <w:sz w:val="22"/>
          <w:szCs w:val="22"/>
          <w:rtl w:val="0"/>
        </w:rPr>
        <w:t xml:space="preserve">Très bonne maîtrise de la suite Office, notamment Powerpoint  </w:t>
      </w:r>
    </w:p>
    <w:p w:rsidR="00000000" w:rsidDel="00000000" w:rsidP="00000000" w:rsidRDefault="00000000" w:rsidRPr="00000000" w14:paraId="00000035">
      <w:pPr>
        <w:tabs>
          <w:tab w:val="right" w:pos="8010"/>
        </w:tabs>
        <w:jc w:val="both"/>
        <w:rPr>
          <w:rFonts w:ascii="Tahoma" w:cs="Tahoma" w:eastAsia="Tahoma" w:hAnsi="Tahoma"/>
          <w:color w:val="353744"/>
          <w:sz w:val="22"/>
          <w:szCs w:val="22"/>
        </w:rPr>
      </w:pPr>
      <w:bookmarkStart w:colFirst="0" w:colLast="0" w:name="_heading=h.cyadc0cq97ja" w:id="10"/>
      <w:bookmarkEnd w:id="10"/>
      <w:r w:rsidDel="00000000" w:rsidR="00000000" w:rsidRPr="00000000">
        <w:rPr>
          <w:rFonts w:ascii="Tahoma" w:cs="Tahoma" w:eastAsia="Tahoma" w:hAnsi="Tahoma"/>
          <w:color w:val="353744"/>
          <w:sz w:val="22"/>
          <w:szCs w:val="22"/>
          <w:rtl w:val="0"/>
        </w:rPr>
        <w:t xml:space="preserve">Excellentes qualités rédactionnelles </w:t>
      </w:r>
    </w:p>
    <w:p w:rsidR="00000000" w:rsidDel="00000000" w:rsidP="00000000" w:rsidRDefault="00000000" w:rsidRPr="00000000" w14:paraId="00000036">
      <w:pPr>
        <w:tabs>
          <w:tab w:val="right" w:pos="8010"/>
        </w:tabs>
        <w:jc w:val="both"/>
        <w:rPr>
          <w:rFonts w:ascii="Tahoma" w:cs="Tahoma" w:eastAsia="Tahoma" w:hAnsi="Tahoma"/>
          <w:color w:val="353744"/>
          <w:sz w:val="22"/>
          <w:szCs w:val="22"/>
        </w:rPr>
      </w:pPr>
      <w:bookmarkStart w:colFirst="0" w:colLast="0" w:name="_heading=h.py59vb504ff" w:id="11"/>
      <w:bookmarkEnd w:id="11"/>
      <w:r w:rsidDel="00000000" w:rsidR="00000000" w:rsidRPr="00000000">
        <w:rPr>
          <w:rFonts w:ascii="Tahoma" w:cs="Tahoma" w:eastAsia="Tahoma" w:hAnsi="Tahoma"/>
          <w:color w:val="353744"/>
          <w:sz w:val="22"/>
          <w:szCs w:val="22"/>
          <w:rtl w:val="0"/>
        </w:rPr>
        <w:t xml:space="preserve">Expérience en événementiel, relations publiques et relations de presse </w:t>
      </w:r>
    </w:p>
    <w:p w:rsidR="00000000" w:rsidDel="00000000" w:rsidP="00000000" w:rsidRDefault="00000000" w:rsidRPr="00000000" w14:paraId="00000037">
      <w:pPr>
        <w:tabs>
          <w:tab w:val="right" w:pos="8010"/>
        </w:tabs>
        <w:jc w:val="both"/>
        <w:rPr>
          <w:rFonts w:ascii="Tahoma" w:cs="Tahoma" w:eastAsia="Tahoma" w:hAnsi="Tahoma"/>
          <w:color w:val="353744"/>
          <w:sz w:val="22"/>
          <w:szCs w:val="22"/>
        </w:rPr>
      </w:pPr>
      <w:bookmarkStart w:colFirst="0" w:colLast="0" w:name="_heading=h.e2yzbplk3ywm" w:id="12"/>
      <w:bookmarkEnd w:id="12"/>
      <w:r w:rsidDel="00000000" w:rsidR="00000000" w:rsidRPr="00000000">
        <w:rPr>
          <w:rFonts w:ascii="Tahoma" w:cs="Tahoma" w:eastAsia="Tahoma" w:hAnsi="Tahoma"/>
          <w:color w:val="353744"/>
          <w:sz w:val="22"/>
          <w:szCs w:val="22"/>
          <w:rtl w:val="0"/>
        </w:rPr>
        <w:t xml:space="preserve">Expérience en communication de crise, nationale ou internationale </w:t>
      </w:r>
    </w:p>
    <w:p w:rsidR="00000000" w:rsidDel="00000000" w:rsidP="00000000" w:rsidRDefault="00000000" w:rsidRPr="00000000" w14:paraId="00000038">
      <w:pPr>
        <w:tabs>
          <w:tab w:val="right" w:pos="8010"/>
        </w:tabs>
        <w:jc w:val="both"/>
        <w:rPr>
          <w:rFonts w:ascii="Tahoma" w:cs="Tahoma" w:eastAsia="Tahoma" w:hAnsi="Tahoma"/>
          <w:color w:val="353744"/>
          <w:sz w:val="22"/>
          <w:szCs w:val="22"/>
        </w:rPr>
      </w:pPr>
      <w:bookmarkStart w:colFirst="0" w:colLast="0" w:name="_heading=h.gv1y4t77i8gp" w:id="13"/>
      <w:bookmarkEnd w:id="13"/>
      <w:r w:rsidDel="00000000" w:rsidR="00000000" w:rsidRPr="00000000">
        <w:rPr>
          <w:rFonts w:ascii="Tahoma" w:cs="Tahoma" w:eastAsia="Tahoma" w:hAnsi="Tahoma"/>
          <w:color w:val="353744"/>
          <w:sz w:val="22"/>
          <w:szCs w:val="22"/>
          <w:rtl w:val="0"/>
        </w:rPr>
        <w:t xml:space="preserve">Bonne maîtrise des réseaux sociaux </w:t>
      </w:r>
    </w:p>
    <w:p w:rsidR="00000000" w:rsidDel="00000000" w:rsidP="00000000" w:rsidRDefault="00000000" w:rsidRPr="00000000" w14:paraId="00000039">
      <w:pPr>
        <w:tabs>
          <w:tab w:val="right" w:pos="8010"/>
        </w:tabs>
        <w:jc w:val="both"/>
        <w:rPr>
          <w:rFonts w:ascii="Tahoma" w:cs="Tahoma" w:eastAsia="Tahoma" w:hAnsi="Tahoma"/>
          <w:color w:val="353744"/>
          <w:sz w:val="22"/>
          <w:szCs w:val="22"/>
        </w:rPr>
      </w:pPr>
      <w:bookmarkStart w:colFirst="0" w:colLast="0" w:name="_heading=h.y4xctyq54jxu" w:id="14"/>
      <w:bookmarkEnd w:id="14"/>
      <w:r w:rsidDel="00000000" w:rsidR="00000000" w:rsidRPr="00000000">
        <w:rPr>
          <w:rFonts w:ascii="Tahoma" w:cs="Tahoma" w:eastAsia="Tahoma" w:hAnsi="Tahoma"/>
          <w:color w:val="353744"/>
          <w:sz w:val="22"/>
          <w:szCs w:val="22"/>
          <w:rtl w:val="0"/>
        </w:rPr>
        <w:t xml:space="preserve">Savoir maintenir un site web serait un plus</w:t>
      </w:r>
    </w:p>
    <w:p w:rsidR="00000000" w:rsidDel="00000000" w:rsidP="00000000" w:rsidRDefault="00000000" w:rsidRPr="00000000" w14:paraId="0000003A">
      <w:pPr>
        <w:tabs>
          <w:tab w:val="right" w:pos="8010"/>
        </w:tabs>
        <w:jc w:val="both"/>
        <w:rPr>
          <w:rFonts w:ascii="Tahoma" w:cs="Tahoma" w:eastAsia="Tahoma" w:hAnsi="Tahoma"/>
          <w:color w:val="353744"/>
          <w:sz w:val="22"/>
          <w:szCs w:val="22"/>
        </w:rPr>
      </w:pPr>
      <w:bookmarkStart w:colFirst="0" w:colLast="0" w:name="_heading=h.y6wx8634tk9o" w:id="15"/>
      <w:bookmarkEnd w:id="15"/>
      <w:r w:rsidDel="00000000" w:rsidR="00000000" w:rsidRPr="00000000">
        <w:rPr>
          <w:rFonts w:ascii="Tahoma" w:cs="Tahoma" w:eastAsia="Tahoma" w:hAnsi="Tahoma"/>
          <w:color w:val="353744"/>
          <w:sz w:val="22"/>
          <w:szCs w:val="22"/>
          <w:rtl w:val="0"/>
        </w:rPr>
        <w:t xml:space="preserve">Anglais courant</w:t>
      </w:r>
    </w:p>
    <w:p w:rsidR="00000000" w:rsidDel="00000000" w:rsidP="00000000" w:rsidRDefault="00000000" w:rsidRPr="00000000" w14:paraId="0000003B">
      <w:pPr>
        <w:tabs>
          <w:tab w:val="right" w:pos="8010"/>
        </w:tabs>
        <w:jc w:val="both"/>
        <w:rPr>
          <w:rFonts w:ascii="Tahoma" w:cs="Tahoma" w:eastAsia="Tahoma" w:hAnsi="Tahoma"/>
          <w:color w:val="353744"/>
          <w:sz w:val="22"/>
          <w:szCs w:val="22"/>
        </w:rPr>
      </w:pPr>
      <w:bookmarkStart w:colFirst="0" w:colLast="0" w:name="_heading=h.575avj52o87l" w:id="16"/>
      <w:bookmarkEnd w:id="16"/>
      <w:r w:rsidDel="00000000" w:rsidR="00000000" w:rsidRPr="00000000">
        <w:rPr>
          <w:rtl w:val="0"/>
        </w:rPr>
      </w:r>
    </w:p>
    <w:p w:rsidR="00000000" w:rsidDel="00000000" w:rsidP="00000000" w:rsidRDefault="00000000" w:rsidRPr="00000000" w14:paraId="0000003C">
      <w:pPr>
        <w:tabs>
          <w:tab w:val="right" w:pos="8010"/>
        </w:tabs>
        <w:jc w:val="both"/>
        <w:rPr>
          <w:rFonts w:ascii="Tahoma" w:cs="Tahoma" w:eastAsia="Tahoma" w:hAnsi="Tahoma"/>
          <w:b w:val="1"/>
          <w:color w:val="353744"/>
          <w:sz w:val="22"/>
          <w:szCs w:val="22"/>
        </w:rPr>
      </w:pPr>
      <w:bookmarkStart w:colFirst="0" w:colLast="0" w:name="_heading=h.dei9rf8yixz7" w:id="17"/>
      <w:bookmarkEnd w:id="17"/>
      <w:r w:rsidDel="00000000" w:rsidR="00000000" w:rsidRPr="00000000">
        <w:rPr>
          <w:rFonts w:ascii="Tahoma" w:cs="Tahoma" w:eastAsia="Tahoma" w:hAnsi="Tahoma"/>
          <w:b w:val="1"/>
          <w:color w:val="353744"/>
          <w:sz w:val="22"/>
          <w:szCs w:val="22"/>
          <w:rtl w:val="0"/>
        </w:rPr>
        <w:t xml:space="preserve">**Compétences managériales et relationnelles**</w:t>
      </w:r>
    </w:p>
    <w:p w:rsidR="00000000" w:rsidDel="00000000" w:rsidP="00000000" w:rsidRDefault="00000000" w:rsidRPr="00000000" w14:paraId="0000003D">
      <w:pPr>
        <w:tabs>
          <w:tab w:val="right" w:pos="8010"/>
        </w:tabs>
        <w:jc w:val="both"/>
        <w:rPr>
          <w:rFonts w:ascii="Tahoma" w:cs="Tahoma" w:eastAsia="Tahoma" w:hAnsi="Tahoma"/>
          <w:color w:val="353744"/>
          <w:sz w:val="22"/>
          <w:szCs w:val="22"/>
        </w:rPr>
      </w:pPr>
      <w:bookmarkStart w:colFirst="0" w:colLast="0" w:name="_heading=h.lnsm5ymxsmps" w:id="18"/>
      <w:bookmarkEnd w:id="18"/>
      <w:r w:rsidDel="00000000" w:rsidR="00000000" w:rsidRPr="00000000">
        <w:rPr>
          <w:rFonts w:ascii="Tahoma" w:cs="Tahoma" w:eastAsia="Tahoma" w:hAnsi="Tahoma"/>
          <w:color w:val="353744"/>
          <w:sz w:val="22"/>
          <w:szCs w:val="22"/>
          <w:rtl w:val="0"/>
        </w:rPr>
        <w:t xml:space="preserve">Forte expérience de gestion et management d'équipe </w:t>
      </w:r>
    </w:p>
    <w:p w:rsidR="00000000" w:rsidDel="00000000" w:rsidP="00000000" w:rsidRDefault="00000000" w:rsidRPr="00000000" w14:paraId="0000003E">
      <w:pPr>
        <w:tabs>
          <w:tab w:val="right" w:pos="8010"/>
        </w:tabs>
        <w:jc w:val="both"/>
        <w:rPr>
          <w:rFonts w:ascii="Tahoma" w:cs="Tahoma" w:eastAsia="Tahoma" w:hAnsi="Tahoma"/>
          <w:color w:val="353744"/>
          <w:sz w:val="22"/>
          <w:szCs w:val="22"/>
        </w:rPr>
      </w:pPr>
      <w:bookmarkStart w:colFirst="0" w:colLast="0" w:name="_heading=h.12qvucpsc3a7" w:id="19"/>
      <w:bookmarkEnd w:id="19"/>
      <w:r w:rsidDel="00000000" w:rsidR="00000000" w:rsidRPr="00000000">
        <w:rPr>
          <w:rFonts w:ascii="Tahoma" w:cs="Tahoma" w:eastAsia="Tahoma" w:hAnsi="Tahoma"/>
          <w:color w:val="353744"/>
          <w:sz w:val="22"/>
          <w:szCs w:val="22"/>
          <w:rtl w:val="0"/>
        </w:rPr>
        <w:t xml:space="preserve">Capacité à fixer des objectifs prioritaires aux équipes et aux prestataires </w:t>
      </w:r>
    </w:p>
    <w:p w:rsidR="00000000" w:rsidDel="00000000" w:rsidP="00000000" w:rsidRDefault="00000000" w:rsidRPr="00000000" w14:paraId="0000003F">
      <w:pPr>
        <w:tabs>
          <w:tab w:val="right" w:pos="8010"/>
        </w:tabs>
        <w:jc w:val="both"/>
        <w:rPr>
          <w:rFonts w:ascii="Tahoma" w:cs="Tahoma" w:eastAsia="Tahoma" w:hAnsi="Tahoma"/>
          <w:color w:val="353744"/>
          <w:sz w:val="22"/>
          <w:szCs w:val="22"/>
        </w:rPr>
      </w:pPr>
      <w:bookmarkStart w:colFirst="0" w:colLast="0" w:name="_heading=h.kxlg9uuog0vs" w:id="20"/>
      <w:bookmarkEnd w:id="20"/>
      <w:r w:rsidDel="00000000" w:rsidR="00000000" w:rsidRPr="00000000">
        <w:rPr>
          <w:rFonts w:ascii="Tahoma" w:cs="Tahoma" w:eastAsia="Tahoma" w:hAnsi="Tahoma"/>
          <w:color w:val="353744"/>
          <w:sz w:val="22"/>
          <w:szCs w:val="22"/>
          <w:rtl w:val="0"/>
        </w:rPr>
        <w:t xml:space="preserve">Qualités d'organisation, de planification, gestion de budget et d’échéanciers</w:t>
      </w:r>
    </w:p>
    <w:p w:rsidR="00000000" w:rsidDel="00000000" w:rsidP="00000000" w:rsidRDefault="00000000" w:rsidRPr="00000000" w14:paraId="00000040">
      <w:pPr>
        <w:tabs>
          <w:tab w:val="right" w:pos="8010"/>
        </w:tabs>
        <w:jc w:val="both"/>
        <w:rPr>
          <w:rFonts w:ascii="Tahoma" w:cs="Tahoma" w:eastAsia="Tahoma" w:hAnsi="Tahoma"/>
          <w:color w:val="353744"/>
          <w:sz w:val="22"/>
          <w:szCs w:val="22"/>
        </w:rPr>
      </w:pPr>
      <w:bookmarkStart w:colFirst="0" w:colLast="0" w:name="_heading=h.lwd9wcwgbui6" w:id="21"/>
      <w:bookmarkEnd w:id="21"/>
      <w:r w:rsidDel="00000000" w:rsidR="00000000" w:rsidRPr="00000000">
        <w:rPr>
          <w:rFonts w:ascii="Tahoma" w:cs="Tahoma" w:eastAsia="Tahoma" w:hAnsi="Tahoma"/>
          <w:color w:val="353744"/>
          <w:sz w:val="22"/>
          <w:szCs w:val="22"/>
          <w:rtl w:val="0"/>
        </w:rPr>
        <w:t xml:space="preserve">Rigueur pour piloter plusieurs chantiers en simultané</w:t>
      </w:r>
    </w:p>
    <w:p w:rsidR="00000000" w:rsidDel="00000000" w:rsidP="00000000" w:rsidRDefault="00000000" w:rsidRPr="00000000" w14:paraId="00000041">
      <w:pPr>
        <w:tabs>
          <w:tab w:val="right" w:pos="8010"/>
        </w:tabs>
        <w:jc w:val="both"/>
        <w:rPr>
          <w:rFonts w:ascii="Tahoma" w:cs="Tahoma" w:eastAsia="Tahoma" w:hAnsi="Tahoma"/>
          <w:color w:val="353744"/>
          <w:sz w:val="22"/>
          <w:szCs w:val="22"/>
        </w:rPr>
      </w:pPr>
      <w:bookmarkStart w:colFirst="0" w:colLast="0" w:name="_heading=h.hqhke9mtckhj" w:id="22"/>
      <w:bookmarkEnd w:id="22"/>
      <w:r w:rsidDel="00000000" w:rsidR="00000000" w:rsidRPr="00000000">
        <w:rPr>
          <w:rFonts w:ascii="Tahoma" w:cs="Tahoma" w:eastAsia="Tahoma" w:hAnsi="Tahoma"/>
          <w:color w:val="353744"/>
          <w:sz w:val="22"/>
          <w:szCs w:val="22"/>
          <w:rtl w:val="0"/>
        </w:rPr>
        <w:t xml:space="preserve">Curiosité, goût du changement et bonne capacité d'adaptation à un environnement évolutif et complexe</w:t>
      </w:r>
    </w:p>
    <w:p w:rsidR="00000000" w:rsidDel="00000000" w:rsidP="00000000" w:rsidRDefault="00000000" w:rsidRPr="00000000" w14:paraId="00000042">
      <w:pPr>
        <w:tabs>
          <w:tab w:val="right" w:pos="8010"/>
        </w:tabs>
        <w:jc w:val="both"/>
        <w:rPr>
          <w:rFonts w:ascii="Tahoma" w:cs="Tahoma" w:eastAsia="Tahoma" w:hAnsi="Tahoma"/>
          <w:b w:val="1"/>
          <w:color w:val="036287"/>
          <w:sz w:val="28"/>
          <w:szCs w:val="28"/>
        </w:rPr>
      </w:pPr>
      <w:bookmarkStart w:colFirst="0" w:colLast="0" w:name="_heading=h.ucp217flzzwu" w:id="23"/>
      <w:bookmarkEnd w:id="23"/>
      <w:r w:rsidDel="00000000" w:rsidR="00000000" w:rsidRPr="00000000">
        <w:rPr>
          <w:rtl w:val="0"/>
        </w:rPr>
      </w:r>
    </w:p>
    <w:p w:rsidR="00000000" w:rsidDel="00000000" w:rsidP="00000000" w:rsidRDefault="00000000" w:rsidRPr="00000000" w14:paraId="00000043">
      <w:pPr>
        <w:tabs>
          <w:tab w:val="right" w:pos="8010"/>
        </w:tabs>
        <w:jc w:val="both"/>
        <w:rPr>
          <w:rFonts w:ascii="Tahoma" w:cs="Tahoma" w:eastAsia="Tahoma" w:hAnsi="Tahoma"/>
          <w:b w:val="1"/>
          <w:color w:val="036287"/>
          <w:sz w:val="28"/>
          <w:szCs w:val="28"/>
        </w:rPr>
      </w:pPr>
      <w:bookmarkStart w:colFirst="0" w:colLast="0" w:name="_heading=h.1retnodz3gzb" w:id="24"/>
      <w:bookmarkEnd w:id="24"/>
      <w:r w:rsidDel="00000000" w:rsidR="00000000" w:rsidRPr="00000000">
        <w:rPr>
          <w:rFonts w:ascii="Tahoma" w:cs="Tahoma" w:eastAsia="Tahoma" w:hAnsi="Tahoma"/>
          <w:b w:val="1"/>
          <w:color w:val="036287"/>
          <w:sz w:val="28"/>
          <w:szCs w:val="28"/>
          <w:rtl w:val="0"/>
        </w:rPr>
        <w:t xml:space="preserve">Pour postuler </w:t>
      </w:r>
    </w:p>
    <w:p w:rsidR="00000000" w:rsidDel="00000000" w:rsidP="00000000" w:rsidRDefault="00000000" w:rsidRPr="00000000" w14:paraId="00000044">
      <w:pPr>
        <w:tabs>
          <w:tab w:val="right" w:pos="8010"/>
        </w:tabs>
        <w:ind w:left="360" w:firstLine="0"/>
        <w:jc w:val="both"/>
        <w:rPr>
          <w:rFonts w:ascii="Tahoma" w:cs="Tahoma" w:eastAsia="Tahoma" w:hAnsi="Tahoma"/>
          <w:b w:val="1"/>
          <w:color w:val="1155cc"/>
          <w:sz w:val="26"/>
          <w:szCs w:val="26"/>
        </w:rPr>
      </w:pPr>
      <w:bookmarkStart w:colFirst="0" w:colLast="0" w:name="_heading=h.kv9fshonv8mt" w:id="25"/>
      <w:bookmarkEnd w:id="25"/>
      <w:r w:rsidDel="00000000" w:rsidR="00000000" w:rsidRPr="00000000">
        <w:rPr>
          <w:rtl w:val="0"/>
        </w:rPr>
      </w:r>
    </w:p>
    <w:p w:rsidR="00000000" w:rsidDel="00000000" w:rsidP="00000000" w:rsidRDefault="00000000" w:rsidRPr="00000000" w14:paraId="00000045">
      <w:pPr>
        <w:tabs>
          <w:tab w:val="right" w:pos="8010"/>
        </w:tabs>
        <w:ind w:left="74" w:firstLine="0"/>
        <w:rPr>
          <w:rFonts w:ascii="Tahoma" w:cs="Tahoma" w:eastAsia="Tahoma" w:hAnsi="Tahoma"/>
          <w:highlight w:val="yellow"/>
        </w:rPr>
      </w:pPr>
      <w:r w:rsidDel="00000000" w:rsidR="00000000" w:rsidRPr="00000000">
        <w:rPr>
          <w:rFonts w:ascii="Tahoma" w:cs="Tahoma" w:eastAsia="Tahoma" w:hAnsi="Tahoma"/>
          <w:b w:val="1"/>
          <w:color w:val="353744"/>
          <w:rtl w:val="0"/>
        </w:rPr>
        <w:t xml:space="preserve">Contact : </w:t>
      </w:r>
      <w:r w:rsidDel="00000000" w:rsidR="00000000" w:rsidRPr="00000000">
        <w:rPr>
          <w:rFonts w:ascii="Tahoma" w:cs="Tahoma" w:eastAsia="Tahoma" w:hAnsi="Tahoma"/>
          <w:b w:val="1"/>
          <w:color w:val="036287"/>
          <w:rtl w:val="0"/>
        </w:rPr>
        <w:t xml:space="preserve">jobs.communication@health-data-hub.fr</w:t>
      </w:r>
      <w:r w:rsidDel="00000000" w:rsidR="00000000" w:rsidRPr="00000000">
        <w:rPr>
          <w:rtl w:val="0"/>
        </w:rPr>
      </w:r>
    </w:p>
    <w:p w:rsidR="00000000" w:rsidDel="00000000" w:rsidP="00000000" w:rsidRDefault="00000000" w:rsidRPr="00000000" w14:paraId="00000046">
      <w:pPr>
        <w:jc w:val="center"/>
        <w:rPr>
          <w:rFonts w:ascii="Tahoma" w:cs="Tahoma" w:eastAsia="Tahoma" w:hAnsi="Tahoma"/>
          <w:b w:val="1"/>
          <w:color w:val="036287"/>
          <w:sz w:val="36"/>
          <w:szCs w:val="36"/>
        </w:rPr>
      </w:pPr>
      <w:r w:rsidDel="00000000" w:rsidR="00000000" w:rsidRPr="00000000">
        <w:rPr>
          <w:rtl w:val="0"/>
        </w:rPr>
      </w:r>
    </w:p>
    <w:p w:rsidR="00000000" w:rsidDel="00000000" w:rsidP="00000000" w:rsidRDefault="00000000" w:rsidRPr="00000000" w14:paraId="00000047">
      <w:pPr>
        <w:jc w:val="center"/>
        <w:rPr>
          <w:rFonts w:ascii="Tahoma" w:cs="Tahoma" w:eastAsia="Tahoma" w:hAnsi="Tahoma"/>
          <w:b w:val="1"/>
          <w:color w:val="036287"/>
          <w:sz w:val="36"/>
          <w:szCs w:val="36"/>
        </w:rPr>
      </w:pPr>
      <w:r w:rsidDel="00000000" w:rsidR="00000000" w:rsidRPr="00000000">
        <w:rPr>
          <w:rtl w:val="0"/>
        </w:rPr>
      </w:r>
    </w:p>
    <w:p w:rsidR="00000000" w:rsidDel="00000000" w:rsidP="00000000" w:rsidRDefault="00000000" w:rsidRPr="00000000" w14:paraId="00000048">
      <w:pPr>
        <w:jc w:val="right"/>
        <w:rPr>
          <w:rFonts w:ascii="Tahoma" w:cs="Tahoma" w:eastAsia="Tahoma" w:hAnsi="Tahoma"/>
          <w:color w:val="036287"/>
          <w:sz w:val="32"/>
          <w:szCs w:val="32"/>
          <w:u w:val="single"/>
        </w:rPr>
      </w:pPr>
      <w:r w:rsidDel="00000000" w:rsidR="00000000" w:rsidRPr="00000000">
        <w:rPr>
          <w:rtl w:val="0"/>
        </w:rPr>
      </w:r>
    </w:p>
    <w:sectPr>
      <w:headerReference r:id="rId8" w:type="default"/>
      <w:footerReference r:id="rId9" w:type="default"/>
      <w:pgSz w:h="16838" w:w="11906" w:orient="portrait"/>
      <w:pgMar w:bottom="1417" w:top="1417" w:left="1417" w:right="1417" w:header="397"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pos="4536"/>
        <w:tab w:val="right" w:pos="9072"/>
      </w:tabs>
      <w:jc w:val="right"/>
      <w:rPr>
        <w:rFonts w:ascii="Tahoma" w:cs="Tahoma" w:eastAsia="Tahoma" w:hAnsi="Tahoma"/>
        <w:color w:val="000000"/>
        <w:sz w:val="16"/>
        <w:szCs w:val="16"/>
      </w:rPr>
    </w:pPr>
    <w:r w:rsidDel="00000000" w:rsidR="00000000" w:rsidRPr="00000000">
      <w:rPr>
        <w:rFonts w:ascii="Tahoma" w:cs="Tahoma" w:eastAsia="Tahoma" w:hAnsi="Tahoma"/>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pos="4536"/>
        <w:tab w:val="right" w:pos="9072"/>
      </w:tabs>
      <w:rPr>
        <w:rFonts w:ascii="Tahoma" w:cs="Tahoma" w:eastAsia="Tahoma" w:hAnsi="Tahoma"/>
        <w:color w:val="000000"/>
        <w:sz w:val="14"/>
        <w:szCs w:val="14"/>
      </w:rPr>
    </w:pPr>
    <w:r w:rsidDel="00000000" w:rsidR="00000000" w:rsidRPr="00000000">
      <w:rPr>
        <w:rFonts w:ascii="Tahoma" w:cs="Tahoma" w:eastAsia="Tahoma" w:hAnsi="Tahoma"/>
        <w:sz w:val="14"/>
        <w:szCs w:val="14"/>
        <w:rtl w:val="0"/>
      </w:rPr>
      <w:t xml:space="preserve">Exemple de fiche de poste - complétée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drawing>
        <wp:anchor allowOverlap="1" behindDoc="0" distB="0" distT="0" distL="0" distR="0" hidden="0" layoutInCell="1" locked="0" relativeHeight="0" simplePos="0">
          <wp:simplePos x="0" y="0"/>
          <wp:positionH relativeFrom="page">
            <wp:posOffset>6679255</wp:posOffset>
          </wp:positionH>
          <wp:positionV relativeFrom="page">
            <wp:posOffset>19050</wp:posOffset>
          </wp:positionV>
          <wp:extent cx="972329" cy="891302"/>
          <wp:effectExtent b="0" l="0" r="0" t="0"/>
          <wp:wrapSquare wrapText="bothSides" distB="0" distT="0" distL="0" distR="0"/>
          <wp:docPr id="20" name="image1.png"/>
          <a:graphic>
            <a:graphicData uri="http://schemas.openxmlformats.org/drawingml/2006/picture">
              <pic:pic>
                <pic:nvPicPr>
                  <pic:cNvPr id="0" name="image1.png"/>
                  <pic:cNvPicPr preferRelativeResize="0"/>
                </pic:nvPicPr>
                <pic:blipFill>
                  <a:blip r:embed="rId1"/>
                  <a:srcRect b="5319" l="0" r="0" t="-5319"/>
                  <a:stretch>
                    <a:fillRect/>
                  </a:stretch>
                </pic:blipFill>
                <pic:spPr>
                  <a:xfrm rot="16200000">
                    <a:off x="0" y="0"/>
                    <a:ext cx="972329" cy="891302"/>
                  </a:xfrm>
                  <a:prstGeom prst="rect"/>
                  <a:ln/>
                </pic:spPr>
              </pic:pic>
            </a:graphicData>
          </a:graphic>
        </wp:anchor>
      </w:drawing>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drawing>
        <wp:anchor allowOverlap="1" behindDoc="0" distB="0" distT="0" distL="114300" distR="114300" hidden="0" layoutInCell="1" locked="0" relativeHeight="0" simplePos="0">
          <wp:simplePos x="0" y="0"/>
          <wp:positionH relativeFrom="page">
            <wp:posOffset>899795</wp:posOffset>
          </wp:positionH>
          <wp:positionV relativeFrom="page">
            <wp:posOffset>514350</wp:posOffset>
          </wp:positionV>
          <wp:extent cx="1760220" cy="374015"/>
          <wp:effectExtent b="0" l="0" r="0" t="0"/>
          <wp:wrapSquare wrapText="bothSides" distB="0" distT="0" distL="114300" distR="114300"/>
          <wp:docPr id="2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60220" cy="374015"/>
                  </a:xfrm>
                  <a:prstGeom prst="rect"/>
                  <a:ln/>
                </pic:spPr>
              </pic:pic>
            </a:graphicData>
          </a:graphic>
        </wp:anchor>
      </w:drawing>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pos="4536"/>
        <w:tab w:val="right" w:pos="9072"/>
      </w:tabs>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pos="4536"/>
        <w:tab w:val="right" w:pos="9072"/>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704BA"/>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link w:val="Titre3Car"/>
    <w:uiPriority w:val="9"/>
    <w:semiHidden w:val="1"/>
    <w:unhideWhenUsed w:val="1"/>
    <w:qFormat w:val="1"/>
    <w:rsid w:val="00781AA1"/>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tte">
    <w:name w:val="header"/>
    <w:basedOn w:val="Normal"/>
    <w:link w:val="En-tteCar"/>
    <w:uiPriority w:val="99"/>
    <w:unhideWhenUsed w:val="1"/>
    <w:rsid w:val="00E91309"/>
    <w:pPr>
      <w:tabs>
        <w:tab w:val="center" w:pos="4536"/>
        <w:tab w:val="right" w:pos="9072"/>
      </w:tabs>
    </w:pPr>
  </w:style>
  <w:style w:type="character" w:styleId="En-tteCar" w:customStyle="1">
    <w:name w:val="En-tête Car"/>
    <w:basedOn w:val="Policepardfaut"/>
    <w:link w:val="En-tte"/>
    <w:uiPriority w:val="99"/>
    <w:rsid w:val="00E91309"/>
  </w:style>
  <w:style w:type="paragraph" w:styleId="Pieddepage">
    <w:name w:val="footer"/>
    <w:basedOn w:val="Normal"/>
    <w:link w:val="PieddepageCar"/>
    <w:uiPriority w:val="99"/>
    <w:unhideWhenUsed w:val="1"/>
    <w:rsid w:val="00E91309"/>
    <w:pPr>
      <w:tabs>
        <w:tab w:val="center" w:pos="4536"/>
        <w:tab w:val="right" w:pos="9072"/>
      </w:tabs>
    </w:pPr>
  </w:style>
  <w:style w:type="character" w:styleId="PieddepageCar" w:customStyle="1">
    <w:name w:val="Pied de page Car"/>
    <w:basedOn w:val="Policepardfaut"/>
    <w:link w:val="Pieddepage"/>
    <w:uiPriority w:val="99"/>
    <w:rsid w:val="00E91309"/>
  </w:style>
  <w:style w:type="paragraph" w:styleId="Paragraphedeliste">
    <w:name w:val="List Paragraph"/>
    <w:basedOn w:val="Normal"/>
    <w:uiPriority w:val="34"/>
    <w:qFormat w:val="1"/>
    <w:rsid w:val="003C6388"/>
    <w:pPr>
      <w:ind w:left="720"/>
      <w:contextualSpacing w:val="1"/>
    </w:pPr>
  </w:style>
  <w:style w:type="character" w:styleId="Titre3Car" w:customStyle="1">
    <w:name w:val="Titre 3 Car"/>
    <w:basedOn w:val="Policepardfaut"/>
    <w:link w:val="Titre3"/>
    <w:uiPriority w:val="9"/>
    <w:rsid w:val="00781AA1"/>
    <w:rPr>
      <w:rFonts w:asciiTheme="majorHAnsi" w:cstheme="majorBidi" w:eastAsiaTheme="majorEastAsia" w:hAnsiTheme="majorHAnsi"/>
      <w:color w:val="1f3763" w:themeColor="accent1" w:themeShade="00007F"/>
      <w:sz w:val="24"/>
      <w:szCs w:val="24"/>
      <w:lang w:eastAsia="fr-FR"/>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health-data-hub.fr/"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uVaZR/faRoK1ZydAhDHM0tHk5w==">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2021-08-27T08:56:00Z</dcterms:created>
  <dc:creator>Sophie Janaszkiewicz</dc:creator>
</cp:coreProperties>
</file>